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10" w:rsidRDefault="00D235B6">
      <w:pPr>
        <w:pStyle w:val="Standard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Unità Operativa/Divisione: _________________________</w:t>
      </w:r>
    </w:p>
    <w:p w:rsidR="00C81110" w:rsidRPr="00DA78B3" w:rsidRDefault="00D235B6" w:rsidP="00DA78B3">
      <w:pPr>
        <w:pStyle w:val="Textbody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Direttore/Responsabile: ____________________________</w:t>
      </w:r>
      <w:r>
        <w:rPr>
          <w:b/>
          <w:bCs/>
          <w:i/>
          <w:iCs/>
          <w:sz w:val="28"/>
          <w:szCs w:val="28"/>
        </w:rPr>
        <w:t xml:space="preserve">                                 </w:t>
      </w:r>
      <w:r w:rsidR="00DA78B3">
        <w:rPr>
          <w:b/>
          <w:bCs/>
          <w:i/>
          <w:iCs/>
          <w:sz w:val="28"/>
          <w:szCs w:val="28"/>
        </w:rPr>
        <w:t xml:space="preserve">                               </w:t>
      </w:r>
      <w:r>
        <w:rPr>
          <w:b/>
          <w:bCs/>
          <w:i/>
          <w:iCs/>
          <w:sz w:val="28"/>
          <w:szCs w:val="28"/>
        </w:rPr>
        <w:t xml:space="preserve">             </w:t>
      </w:r>
    </w:p>
    <w:p w:rsidR="00D54375" w:rsidRDefault="00D235B6" w:rsidP="00D54375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610239">
        <w:rPr>
          <w:b/>
          <w:bCs/>
          <w:i/>
          <w:iCs/>
          <w:color w:val="000000" w:themeColor="text1"/>
          <w:sz w:val="28"/>
          <w:szCs w:val="28"/>
        </w:rPr>
        <w:t xml:space="preserve">Dichiarazione di avvenuta </w:t>
      </w:r>
      <w:r w:rsidRPr="00AD0FC6">
        <w:rPr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informazione </w:t>
      </w:r>
      <w:r w:rsidR="00977588" w:rsidRPr="00AD0FC6">
        <w:rPr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>ed</w:t>
      </w:r>
      <w:r w:rsidRPr="00AD0FC6">
        <w:rPr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espressione</w:t>
      </w:r>
      <w:r w:rsidRPr="00610239">
        <w:rPr>
          <w:b/>
          <w:bCs/>
          <w:i/>
          <w:iCs/>
          <w:color w:val="000000" w:themeColor="text1"/>
          <w:sz w:val="28"/>
          <w:szCs w:val="28"/>
        </w:rPr>
        <w:t xml:space="preserve"> del consenso</w:t>
      </w:r>
      <w:r w:rsidR="00DB5E85" w:rsidRPr="0061023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10239">
        <w:rPr>
          <w:b/>
          <w:bCs/>
          <w:i/>
          <w:iCs/>
          <w:color w:val="000000" w:themeColor="text1"/>
          <w:sz w:val="28"/>
          <w:szCs w:val="28"/>
        </w:rPr>
        <w:t>all'atto medico-chirurgico</w:t>
      </w:r>
      <w:r w:rsidR="00717458" w:rsidRPr="00610239">
        <w:rPr>
          <w:b/>
          <w:bCs/>
          <w:i/>
          <w:iCs/>
          <w:color w:val="000000" w:themeColor="text1"/>
          <w:sz w:val="28"/>
          <w:szCs w:val="28"/>
        </w:rPr>
        <w:t xml:space="preserve"> nei casi di </w:t>
      </w:r>
      <w:r w:rsidR="003A149B">
        <w:rPr>
          <w:rFonts w:eastAsia="Times New Roman" w:cs="Times New Roman"/>
          <w:b/>
          <w:i/>
          <w:sz w:val="28"/>
          <w:szCs w:val="28"/>
        </w:rPr>
        <w:t>PATOLOGIA a carico del SURRENE</w:t>
      </w:r>
    </w:p>
    <w:p w:rsidR="007A2FBD" w:rsidRDefault="007A2FBD" w:rsidP="00610239">
      <w:pPr>
        <w:pStyle w:val="Standard"/>
        <w:spacing w:line="276" w:lineRule="auto"/>
        <w:rPr>
          <w:b/>
          <w:bCs/>
          <w:sz w:val="20"/>
          <w:szCs w:val="20"/>
        </w:rPr>
      </w:pPr>
    </w:p>
    <w:p w:rsidR="00D54375" w:rsidRDefault="00D54375" w:rsidP="00610239">
      <w:pPr>
        <w:pStyle w:val="Standard"/>
        <w:spacing w:line="276" w:lineRule="auto"/>
        <w:rPr>
          <w:b/>
          <w:bCs/>
          <w:sz w:val="20"/>
          <w:szCs w:val="20"/>
        </w:rPr>
      </w:pPr>
    </w:p>
    <w:p w:rsidR="00610239" w:rsidRPr="007F254D" w:rsidRDefault="00610239" w:rsidP="00610239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bookmarkStart w:id="0" w:name="_Hlk64457373"/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</w:p>
    <w:p w:rsidR="00610239" w:rsidRPr="007F254D" w:rsidRDefault="00610239" w:rsidP="00610239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COGNOME E NOME DEL MEDICO DELL’U.O. CHE FORNISCE L’INFORMAZIONE E ACQUISISCE IL CONSENSO: _____________________________</w:t>
      </w:r>
    </w:p>
    <w:p w:rsidR="00610239" w:rsidRPr="007F254D" w:rsidRDefault="00610239" w:rsidP="00610239">
      <w:pPr>
        <w:spacing w:after="120"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DATA, ORA E LUOGO DI ACQUISIZIONE DEL CONSENSO, PREVIA INFORMATIVA: ______________________________</w:t>
      </w:r>
    </w:p>
    <w:p w:rsidR="00610239" w:rsidRPr="007F254D" w:rsidRDefault="00610239" w:rsidP="00610239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</w:pPr>
      <w:r w:rsidRPr="007F254D"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:rsidR="00610239" w:rsidRPr="007F254D" w:rsidRDefault="00610239" w:rsidP="00610239">
      <w:pPr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bookmarkStart w:id="1" w:name="_Hlk75972898"/>
      <w:bookmarkEnd w:id="0"/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Io sottoscritto/a ___________________________ nato/a a _____________________ il ____________ residente in ________________ dichiaro di voler essere edotto delle informazioni necessarie al rilascio del consenso al trattamento proposto, di voler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 non voler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 coinvolgere </w:t>
      </w:r>
      <w:r w:rsidRPr="007F254D">
        <w:rPr>
          <w:rFonts w:eastAsia="Times New Roman" w:cs="Times New Roman"/>
          <w:sz w:val="20"/>
          <w:szCs w:val="20"/>
          <w:lang w:eastAsia="ar-SA"/>
        </w:rPr>
        <w:t xml:space="preserve">o incaricare in mia vece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>il familiare Sig._____________________________ o convivente Sig. _____________________________ o fiduciario Sig. _____________________________________.</w:t>
      </w:r>
    </w:p>
    <w:p w:rsidR="00F379FB" w:rsidRDefault="00610239" w:rsidP="00610239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>A seguito delle informazioni somministrate,</w:t>
      </w:r>
      <w:r w:rsidRPr="007F254D">
        <w:rPr>
          <w:rFonts w:eastAsia="Times New Roman" w:cs="Times New Roman"/>
          <w:color w:val="FF0000"/>
          <w:sz w:val="20"/>
          <w:szCs w:val="20"/>
          <w:lang w:eastAsia="ar-SA"/>
        </w:rPr>
        <w:t xml:space="preserve"> 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dichiaro </w:t>
      </w:r>
      <w:bookmarkEnd w:id="1"/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>di essere stato/a informato/a in modo completo, chiaro e per me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comprensibile della</w:t>
      </w:r>
      <w:r w:rsidRPr="007F254D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patologia da cui sono affetto/a</w:t>
      </w:r>
      <w:r>
        <w:rPr>
          <w:rFonts w:eastAsia="Times New Roman" w:cs="Times New Roman"/>
          <w:color w:val="000000"/>
          <w:sz w:val="20"/>
          <w:szCs w:val="20"/>
        </w:rPr>
        <w:t xml:space="preserve"> che consiste</w:t>
      </w:r>
      <w:r w:rsidRPr="007F254D">
        <w:rPr>
          <w:rFonts w:eastAsia="Times New Roman" w:cs="Times New Roman"/>
          <w:color w:val="000000"/>
          <w:sz w:val="20"/>
          <w:szCs w:val="20"/>
        </w:rPr>
        <w:t xml:space="preserve"> in</w:t>
      </w:r>
      <w:r w:rsidR="00F379FB">
        <w:rPr>
          <w:rFonts w:eastAsia="Times New Roman" w:cs="Times New Roman"/>
          <w:color w:val="000000"/>
          <w:sz w:val="20"/>
          <w:szCs w:val="20"/>
        </w:rPr>
        <w:t>:</w:t>
      </w:r>
    </w:p>
    <w:p w:rsidR="003A149B" w:rsidRDefault="00A477DB" w:rsidP="008D061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NEOFORMAZIONE BENIGNA</w:t>
      </w:r>
      <w:r w:rsidR="008D0619" w:rsidRPr="008D0619">
        <w:rPr>
          <w:rFonts w:eastAsia="Times New Roman" w:cs="Times New Roman"/>
          <w:b/>
          <w:bCs/>
          <w:color w:val="000000"/>
          <w:sz w:val="20"/>
          <w:szCs w:val="20"/>
        </w:rPr>
        <w:t xml:space="preserve">, </w:t>
      </w:r>
    </w:p>
    <w:p w:rsidR="00A477DB" w:rsidRDefault="00A477DB" w:rsidP="008D061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NEOFORMAZIONE </w:t>
      </w:r>
      <w:r w:rsidR="008D0619" w:rsidRPr="008D0619">
        <w:rPr>
          <w:rFonts w:eastAsia="Times New Roman" w:cs="Times New Roman"/>
          <w:b/>
          <w:bCs/>
          <w:color w:val="000000"/>
          <w:sz w:val="20"/>
          <w:szCs w:val="20"/>
        </w:rPr>
        <w:t>MALIGN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A, </w:t>
      </w:r>
    </w:p>
    <w:p w:rsidR="008D0619" w:rsidRDefault="00A477DB" w:rsidP="008D0619">
      <w:pPr>
        <w:pStyle w:val="Paragrafoelenco"/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NEOFORMAZIONE METASTATICA,</w:t>
      </w:r>
    </w:p>
    <w:p w:rsidR="003A149B" w:rsidRPr="00A477DB" w:rsidRDefault="00A477DB" w:rsidP="00A477DB">
      <w:pPr>
        <w:pStyle w:val="Paragrafoelenco"/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NEOFORMAZIONE </w:t>
      </w:r>
      <w:r w:rsidR="003A149B">
        <w:rPr>
          <w:rFonts w:eastAsia="Times New Roman" w:cs="Times New Roman"/>
          <w:b/>
          <w:bCs/>
          <w:color w:val="000000"/>
          <w:sz w:val="20"/>
          <w:szCs w:val="20"/>
        </w:rPr>
        <w:t xml:space="preserve">SURRENALICA 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IPERFUNZIONE</w:t>
      </w:r>
    </w:p>
    <w:p w:rsidR="00F379FB" w:rsidRPr="003A149B" w:rsidRDefault="003A149B" w:rsidP="009F1705">
      <w:pPr>
        <w:pStyle w:val="Paragrafoelenco"/>
        <w:numPr>
          <w:ilvl w:val="0"/>
          <w:numId w:val="20"/>
        </w:num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ALTRO:_________________________________________________________________________________</w:t>
      </w:r>
    </w:p>
    <w:p w:rsidR="003A149B" w:rsidRPr="003A149B" w:rsidRDefault="003A149B" w:rsidP="003A149B">
      <w:pPr>
        <w:pStyle w:val="Paragrafoelenco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C81110" w:rsidRPr="00F379FB" w:rsidRDefault="00C604D9" w:rsidP="00F379FB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con </w:t>
      </w:r>
      <w:r w:rsidRPr="00AD0FC6">
        <w:rPr>
          <w:rFonts w:eastAsia="Times New Roman" w:cs="Times New Roman"/>
          <w:sz w:val="20"/>
          <w:szCs w:val="20"/>
          <w:shd w:val="clear" w:color="auto" w:fill="FFFFFF" w:themeFill="background1"/>
        </w:rPr>
        <w:t>caratteristiche di:</w:t>
      </w:r>
      <w:r>
        <w:rPr>
          <w:rFonts w:eastAsia="Times New Roman" w:cs="Times New Roman"/>
          <w:sz w:val="20"/>
          <w:szCs w:val="20"/>
        </w:rPr>
        <w:t xml:space="preserve"> </w:t>
      </w:r>
      <w:r w:rsidR="00D235B6">
        <w:rPr>
          <w:rFonts w:eastAsia="Times New Roman" w:cs="Times New Roman"/>
          <w:sz w:val="20"/>
          <w:szCs w:val="20"/>
        </w:rPr>
        <w:t>_________________________________</w:t>
      </w:r>
      <w:r w:rsidR="008114C2">
        <w:rPr>
          <w:rFonts w:eastAsia="Times New Roman" w:cs="Times New Roman"/>
          <w:sz w:val="20"/>
          <w:szCs w:val="20"/>
        </w:rPr>
        <w:t>___________________________________</w:t>
      </w:r>
    </w:p>
    <w:p w:rsidR="007A2FBD" w:rsidRDefault="007A2FBD" w:rsidP="006D18C7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</w:p>
    <w:p w:rsidR="0051162D" w:rsidRPr="007A2FBD" w:rsidRDefault="0051162D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Cs/>
          <w:sz w:val="20"/>
          <w:szCs w:val="20"/>
        </w:rPr>
      </w:pPr>
      <w:r w:rsidRPr="007A2FBD">
        <w:rPr>
          <w:rFonts w:eastAsia="Times New Roman" w:cs="Times New Roman"/>
          <w:bCs/>
          <w:sz w:val="20"/>
          <w:szCs w:val="20"/>
        </w:rPr>
        <w:t>In presenza di fattori aggravanti:</w:t>
      </w:r>
    </w:p>
    <w:p w:rsidR="009A460C" w:rsidRDefault="0051162D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□ S</w:t>
      </w:r>
      <w:r w:rsidR="009A460C">
        <w:rPr>
          <w:rFonts w:eastAsia="Times New Roman" w:cs="Times New Roman"/>
          <w:b/>
          <w:bCs/>
          <w:sz w:val="20"/>
          <w:szCs w:val="20"/>
        </w:rPr>
        <w:t xml:space="preserve">I </w:t>
      </w:r>
      <w:r w:rsidR="009A460C" w:rsidRPr="009A460C">
        <w:rPr>
          <w:rFonts w:eastAsia="Times New Roman" w:cs="Times New Roman"/>
          <w:bCs/>
          <w:sz w:val="20"/>
          <w:szCs w:val="20"/>
        </w:rPr>
        <w:t>(</w:t>
      </w:r>
      <w:r w:rsidR="008D0619">
        <w:rPr>
          <w:rFonts w:eastAsia="Times New Roman" w:cs="Times New Roman"/>
          <w:bCs/>
          <w:sz w:val="20"/>
          <w:szCs w:val="20"/>
        </w:rPr>
        <w:t>sanguinamento</w:t>
      </w:r>
      <w:r w:rsidR="003954EE">
        <w:rPr>
          <w:rFonts w:eastAsia="Times New Roman" w:cs="Times New Roman"/>
          <w:bCs/>
          <w:sz w:val="20"/>
          <w:szCs w:val="20"/>
        </w:rPr>
        <w:t>, altro</w:t>
      </w:r>
      <w:r w:rsidR="009A460C" w:rsidRPr="009A460C">
        <w:rPr>
          <w:rFonts w:eastAsia="Times New Roman" w:cs="Times New Roman"/>
          <w:bCs/>
          <w:sz w:val="20"/>
          <w:szCs w:val="20"/>
        </w:rPr>
        <w:t>)</w:t>
      </w:r>
      <w:r w:rsidR="009A460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0051162D" w:rsidRDefault="00C604D9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hint="eastAsia"/>
          <w:b/>
          <w:bCs/>
          <w:sz w:val="20"/>
          <w:szCs w:val="20"/>
        </w:rPr>
        <w:t>□</w:t>
      </w:r>
      <w:r w:rsidR="0051162D" w:rsidRPr="00FC62F8">
        <w:rPr>
          <w:rFonts w:eastAsia="Times New Roman" w:cs="Times New Roman" w:hint="eastAsia"/>
          <w:b/>
          <w:bCs/>
          <w:sz w:val="20"/>
          <w:szCs w:val="20"/>
        </w:rPr>
        <w:t xml:space="preserve"> NO</w:t>
      </w:r>
    </w:p>
    <w:p w:rsidR="00610239" w:rsidRDefault="00610239" w:rsidP="006D18C7">
      <w:pPr>
        <w:pStyle w:val="Standard"/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</w:p>
    <w:p w:rsidR="00137AFD" w:rsidRPr="00137AFD" w:rsidRDefault="00F379FB" w:rsidP="00137AFD">
      <w:pPr>
        <w:spacing w:after="120"/>
        <w:jc w:val="both"/>
        <w:rPr>
          <w:color w:val="000000" w:themeColor="text1"/>
          <w:sz w:val="20"/>
          <w:szCs w:val="20"/>
        </w:rPr>
      </w:pPr>
      <w:r w:rsidRPr="00262A44">
        <w:rPr>
          <w:color w:val="000000" w:themeColor="text1"/>
          <w:sz w:val="20"/>
          <w:szCs w:val="20"/>
        </w:rPr>
        <w:t>Sono stato/a informato/a che per la patologia sospettata l’intervento chirurgico potrebbe consistere in:</w:t>
      </w:r>
      <w:r w:rsidR="00137AFD">
        <w:rPr>
          <w:color w:val="000000" w:themeColor="text1"/>
          <w:sz w:val="20"/>
          <w:szCs w:val="20"/>
        </w:rPr>
        <w:t xml:space="preserve"> </w:t>
      </w:r>
      <w:r w:rsidR="00137AFD" w:rsidRPr="00137AFD">
        <w:rPr>
          <w:color w:val="000000"/>
        </w:rPr>
        <w:t xml:space="preserve">una </w:t>
      </w:r>
      <w:r w:rsidR="00137AFD" w:rsidRPr="00137AFD">
        <w:rPr>
          <w:b/>
          <w:color w:val="000000"/>
        </w:rPr>
        <w:t>SURRENECTOMIA</w:t>
      </w:r>
      <w:r w:rsidR="00137AFD" w:rsidRPr="00137AFD">
        <w:rPr>
          <w:color w:val="000000"/>
        </w:rPr>
        <w:t xml:space="preserve">, ovvero l'asportazione completa o parziale di uno o di entrambi i surreni, nelle sue possibili varianti tecniche: </w:t>
      </w:r>
    </w:p>
    <w:p w:rsidR="00137AFD" w:rsidRP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iCs/>
          <w:sz w:val="22"/>
        </w:rPr>
      </w:pPr>
      <w:bookmarkStart w:id="2" w:name="gjdgxs" w:colFirst="0" w:colLast="0"/>
      <w:bookmarkEnd w:id="2"/>
      <w:r w:rsidRPr="00137AFD">
        <w:rPr>
          <w:b/>
          <w:bCs/>
          <w:color w:val="000000"/>
        </w:rPr>
        <w:t xml:space="preserve">SURRENECTOMIA MONOLATERALE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137AFD">
        <w:rPr>
          <w:b/>
          <w:bCs/>
          <w:color w:val="000000"/>
        </w:rPr>
        <w:t xml:space="preserve">DESTRA </w:t>
      </w:r>
      <w:r w:rsidRPr="00137AFD">
        <w:rPr>
          <w:rFonts w:ascii="Courier New" w:hAnsi="Courier New" w:cs="Courier New"/>
          <w:iCs/>
          <w:sz w:val="22"/>
        </w:rPr>
        <w:t xml:space="preserve">□ </w:t>
      </w:r>
      <w:r w:rsidRPr="00137AFD">
        <w:rPr>
          <w:b/>
          <w:iCs/>
        </w:rPr>
        <w:t xml:space="preserve">SINISTRA </w:t>
      </w:r>
      <w:r w:rsidRPr="00137AFD">
        <w:rPr>
          <w:rFonts w:ascii="Courier New" w:hAnsi="Courier New" w:cs="Courier New"/>
          <w:iCs/>
          <w:sz w:val="22"/>
        </w:rPr>
        <w:t>□</w:t>
      </w:r>
    </w:p>
    <w:p w:rsidR="00137AFD" w:rsidRP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b/>
          <w:bCs/>
          <w:color w:val="000000"/>
        </w:rPr>
        <w:t xml:space="preserve">SURRENECTOMIA PARZIALE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137AFD">
        <w:rPr>
          <w:b/>
          <w:bCs/>
          <w:color w:val="000000"/>
        </w:rPr>
        <w:t xml:space="preserve">DESTRA </w:t>
      </w:r>
      <w:r w:rsidRPr="00137AFD">
        <w:rPr>
          <w:rFonts w:ascii="Courier New" w:hAnsi="Courier New" w:cs="Courier New"/>
          <w:iCs/>
          <w:sz w:val="22"/>
        </w:rPr>
        <w:t>□</w:t>
      </w:r>
      <w:r w:rsidRPr="00137AFD">
        <w:rPr>
          <w:b/>
          <w:bCs/>
          <w:color w:val="000000"/>
        </w:rPr>
        <w:t xml:space="preserve">  SINISTRA </w:t>
      </w:r>
      <w:r w:rsidRPr="00137AFD">
        <w:rPr>
          <w:rFonts w:ascii="Courier New" w:hAnsi="Courier New" w:cs="Courier New"/>
          <w:iCs/>
          <w:sz w:val="22"/>
        </w:rPr>
        <w:t>□</w:t>
      </w:r>
    </w:p>
    <w:p w:rsid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b/>
          <w:bCs/>
          <w:color w:val="000000"/>
        </w:rPr>
        <w:t>SURRENECTOMIA BILATERALE</w:t>
      </w:r>
    </w:p>
    <w:p w:rsidR="00137AFD" w:rsidRPr="00137AFD" w:rsidRDefault="00137AFD" w:rsidP="00137AFD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</w:p>
    <w:p w:rsidR="00137AFD" w:rsidRPr="00137AFD" w:rsidRDefault="00137AFD" w:rsidP="00137AF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bCs/>
          <w:color w:val="000000"/>
        </w:rPr>
        <w:t>MEDIANTE APPROCCIO</w:t>
      </w:r>
      <w:r>
        <w:rPr>
          <w:b/>
          <w:bCs/>
          <w:color w:val="000000"/>
        </w:rPr>
        <w:t xml:space="preserve">: </w:t>
      </w:r>
      <w:r w:rsidRPr="00137AFD">
        <w:rPr>
          <w:b/>
          <w:bCs/>
          <w:color w:val="000000"/>
        </w:rPr>
        <w:t xml:space="preserve"> </w:t>
      </w:r>
    </w:p>
    <w:p w:rsid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b/>
          <w:bCs/>
          <w:color w:val="000000"/>
        </w:rPr>
        <w:t>TRANSPERITONEALE LATERALE</w:t>
      </w:r>
    </w:p>
    <w:p w:rsidR="00137AFD" w:rsidRP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b/>
          <w:bCs/>
          <w:color w:val="000000"/>
        </w:rPr>
        <w:t>RETROPERITONEALE</w:t>
      </w:r>
    </w:p>
    <w:p w:rsid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b/>
          <w:bCs/>
          <w:color w:val="000000"/>
        </w:rPr>
        <w:t>TRANSPERITONEALE ANTERIORE</w:t>
      </w:r>
    </w:p>
    <w:p w:rsidR="00137AFD" w:rsidRPr="00137AFD" w:rsidRDefault="00137AFD" w:rsidP="00137AFD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</w:p>
    <w:p w:rsidR="00137AFD" w:rsidRP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137AFD">
        <w:rPr>
          <w:rFonts w:ascii="Courier New" w:hAnsi="Courier New" w:cs="Courier New"/>
          <w:iCs/>
          <w:sz w:val="22"/>
        </w:rPr>
        <w:t xml:space="preserve">□ </w:t>
      </w:r>
      <w:r w:rsidRPr="00137AFD">
        <w:rPr>
          <w:b/>
          <w:iCs/>
        </w:rPr>
        <w:t>MEDIANTE APPROCCIO ROBOTICO</w:t>
      </w:r>
    </w:p>
    <w:p w:rsidR="00137AFD" w:rsidRP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bCs/>
          <w:color w:val="000000"/>
        </w:rPr>
      </w:pPr>
      <w:r w:rsidRPr="00137AFD">
        <w:rPr>
          <w:rFonts w:ascii="Courier New" w:hAnsi="Courier New" w:cs="Courier New"/>
          <w:iCs/>
          <w:sz w:val="22"/>
        </w:rPr>
        <w:t xml:space="preserve">□ </w:t>
      </w:r>
      <w:r w:rsidRPr="00137AFD">
        <w:rPr>
          <w:b/>
          <w:iCs/>
        </w:rPr>
        <w:t>MEDIANTE APPROCCIO LAPAROTOMICO</w:t>
      </w:r>
    </w:p>
    <w:p w:rsidR="00137AFD" w:rsidRPr="00137AFD" w:rsidRDefault="00137AFD" w:rsidP="00137AF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bCs/>
          <w:color w:val="000000"/>
        </w:rPr>
      </w:pPr>
      <w:r w:rsidRPr="00137AFD">
        <w:rPr>
          <w:rFonts w:ascii="Courier New" w:hAnsi="Courier New" w:cs="Courier New"/>
          <w:iCs/>
          <w:sz w:val="22"/>
        </w:rPr>
        <w:t xml:space="preserve">□ </w:t>
      </w:r>
      <w:r w:rsidRPr="00137AFD">
        <w:rPr>
          <w:b/>
          <w:iCs/>
        </w:rPr>
        <w:t>MEDIANTE APPROCCIO LOMBOTOMICO</w:t>
      </w:r>
    </w:p>
    <w:p w:rsidR="00F379FB" w:rsidRPr="00262A44" w:rsidRDefault="00F379FB" w:rsidP="00F379FB">
      <w:pPr>
        <w:pStyle w:val="Paragrafoelenco1"/>
        <w:numPr>
          <w:ilvl w:val="0"/>
          <w:numId w:val="14"/>
        </w:numPr>
        <w:suppressAutoHyphens w:val="0"/>
        <w:spacing w:after="120"/>
        <w:jc w:val="both"/>
        <w:rPr>
          <w:b/>
          <w:color w:val="000000" w:themeColor="text1"/>
        </w:rPr>
      </w:pPr>
      <w:r w:rsidRPr="00262A44">
        <w:rPr>
          <w:b/>
          <w:bCs/>
          <w:color w:val="000000" w:themeColor="text1"/>
        </w:rPr>
        <w:t>ALTRO _____________________________________________________________________________</w:t>
      </w:r>
    </w:p>
    <w:p w:rsidR="0051162D" w:rsidRDefault="0051162D" w:rsidP="00F379FB">
      <w:pPr>
        <w:pStyle w:val="Standard"/>
        <w:spacing w:line="276" w:lineRule="auto"/>
        <w:jc w:val="both"/>
        <w:rPr>
          <w:sz w:val="20"/>
          <w:szCs w:val="20"/>
        </w:rPr>
      </w:pPr>
    </w:p>
    <w:p w:rsidR="00137AFD" w:rsidRPr="00610239" w:rsidRDefault="00137AFD" w:rsidP="00137AFD">
      <w:pPr>
        <w:pStyle w:val="Standard"/>
        <w:spacing w:line="276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L’intervento chirurgico propostomi sarà eseguito con approccio chirurgico:</w:t>
      </w:r>
    </w:p>
    <w:p w:rsidR="00137AFD" w:rsidRDefault="00137AFD" w:rsidP="00137AFD">
      <w:pPr>
        <w:pStyle w:val="Standard"/>
        <w:spacing w:line="276" w:lineRule="auto"/>
        <w:jc w:val="both"/>
        <w:rPr>
          <w:b/>
          <w:bCs/>
          <w:noProof/>
          <w:color w:val="000000" w:themeColor="text1"/>
          <w:sz w:val="20"/>
          <w:szCs w:val="20"/>
        </w:rPr>
      </w:pPr>
      <w:r w:rsidRPr="00610239">
        <w:rPr>
          <w:rFonts w:hint="eastAsia"/>
          <w:noProof/>
          <w:color w:val="000000" w:themeColor="text1"/>
          <w:sz w:val="20"/>
          <w:szCs w:val="20"/>
        </w:rPr>
        <w:lastRenderedPageBreak/>
        <w:t>□</w:t>
      </w:r>
      <w:r w:rsidRPr="00610239">
        <w:rPr>
          <w:rFonts w:hint="eastAsia"/>
          <w:noProof/>
          <w:color w:val="000000" w:themeColor="text1"/>
          <w:sz w:val="20"/>
          <w:szCs w:val="20"/>
        </w:rPr>
        <w:t xml:space="preserve"> </w:t>
      </w:r>
      <w:r w:rsidRPr="00610239">
        <w:rPr>
          <w:rFonts w:hint="eastAsia"/>
          <w:b/>
          <w:bCs/>
          <w:noProof/>
          <w:color w:val="000000" w:themeColor="text1"/>
          <w:sz w:val="20"/>
          <w:szCs w:val="20"/>
        </w:rPr>
        <w:t>LAPAROTOMICO</w:t>
      </w:r>
      <w:r>
        <w:rPr>
          <w:b/>
          <w:bCs/>
          <w:noProof/>
          <w:color w:val="000000" w:themeColor="text1"/>
          <w:sz w:val="20"/>
          <w:szCs w:val="20"/>
        </w:rPr>
        <w:t xml:space="preserve">  </w:t>
      </w:r>
      <w:r w:rsidRPr="00610239">
        <w:rPr>
          <w:rFonts w:hint="eastAsia"/>
          <w:noProof/>
          <w:color w:val="000000" w:themeColor="text1"/>
          <w:sz w:val="20"/>
          <w:szCs w:val="20"/>
        </w:rPr>
        <w:t xml:space="preserve">  </w:t>
      </w:r>
      <w:r w:rsidRPr="00610239">
        <w:rPr>
          <w:rFonts w:hint="eastAsia"/>
          <w:noProof/>
          <w:color w:val="000000" w:themeColor="text1"/>
          <w:sz w:val="20"/>
          <w:szCs w:val="20"/>
        </w:rPr>
        <w:t>□</w:t>
      </w:r>
      <w:r w:rsidRPr="00610239">
        <w:rPr>
          <w:rFonts w:hint="eastAsia"/>
          <w:noProof/>
          <w:color w:val="000000" w:themeColor="text1"/>
          <w:sz w:val="20"/>
          <w:szCs w:val="20"/>
        </w:rPr>
        <w:t xml:space="preserve"> </w:t>
      </w:r>
      <w:r w:rsidRPr="00610239">
        <w:rPr>
          <w:rFonts w:hint="eastAsia"/>
          <w:b/>
          <w:bCs/>
          <w:noProof/>
          <w:color w:val="000000" w:themeColor="text1"/>
          <w:sz w:val="20"/>
          <w:szCs w:val="20"/>
        </w:rPr>
        <w:t>VIDEOLAPAROSCOPICO</w:t>
      </w:r>
      <w:r w:rsidRPr="00610239">
        <w:rPr>
          <w:rFonts w:hint="eastAsia"/>
          <w:noProof/>
          <w:color w:val="000000" w:themeColor="text1"/>
          <w:sz w:val="20"/>
          <w:szCs w:val="20"/>
        </w:rPr>
        <w:t xml:space="preserve">    </w:t>
      </w:r>
      <w:r w:rsidRPr="00610239">
        <w:rPr>
          <w:rFonts w:hint="eastAsia"/>
          <w:noProof/>
          <w:color w:val="000000" w:themeColor="text1"/>
          <w:sz w:val="20"/>
          <w:szCs w:val="20"/>
        </w:rPr>
        <w:t>□</w:t>
      </w:r>
      <w:r w:rsidRPr="00610239">
        <w:rPr>
          <w:rFonts w:hint="eastAsia"/>
          <w:noProof/>
          <w:color w:val="000000" w:themeColor="text1"/>
          <w:sz w:val="20"/>
          <w:szCs w:val="20"/>
        </w:rPr>
        <w:t xml:space="preserve"> </w:t>
      </w:r>
      <w:r w:rsidRPr="00610239">
        <w:rPr>
          <w:rFonts w:hint="eastAsia"/>
          <w:b/>
          <w:bCs/>
          <w:noProof/>
          <w:color w:val="000000" w:themeColor="text1"/>
          <w:sz w:val="20"/>
          <w:szCs w:val="20"/>
        </w:rPr>
        <w:t>ROBOTICO</w:t>
      </w:r>
    </w:p>
    <w:p w:rsidR="00137AFD" w:rsidRPr="00137AFD" w:rsidRDefault="00137AFD" w:rsidP="00137AFD">
      <w:pPr>
        <w:pStyle w:val="Standard"/>
        <w:spacing w:line="276" w:lineRule="auto"/>
        <w:jc w:val="both"/>
        <w:rPr>
          <w:rFonts w:cs="Times New Roman"/>
          <w:b/>
          <w:bCs/>
          <w:noProof/>
          <w:color w:val="000000" w:themeColor="text1"/>
          <w:sz w:val="20"/>
          <w:szCs w:val="20"/>
        </w:rPr>
      </w:pPr>
    </w:p>
    <w:p w:rsidR="008D0619" w:rsidRPr="007111EE" w:rsidRDefault="008D0619" w:rsidP="008D0619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111EE">
        <w:rPr>
          <w:rFonts w:eastAsia="Times New Roman" w:cs="Times New Roman"/>
          <w:color w:val="000000"/>
          <w:sz w:val="20"/>
          <w:szCs w:val="20"/>
        </w:rPr>
        <w:t>Inoltre sono stato/a edotto/a che:</w:t>
      </w:r>
    </w:p>
    <w:p w:rsidR="00137AFD" w:rsidRPr="007111EE" w:rsidRDefault="00137AFD" w:rsidP="00137AFD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Cs/>
          <w:color w:val="000000"/>
          <w:sz w:val="20"/>
          <w:szCs w:val="20"/>
        </w:rPr>
        <w:t>L’intervento potrebbe non risolvere completamente il quadro di iperfunzione surrenalica per l’iperplasia compensatoria della ghiandola controlaterale. In particolare non è possibile prevedere una risoluzione completa e certa del quadro di ipertensione arteriosa, ove presente, anche per la contemporanea coesistenza di un quadro di ipertensione arteriosa essenziale.</w:t>
      </w:r>
    </w:p>
    <w:p w:rsidR="00137AFD" w:rsidRPr="007111EE" w:rsidRDefault="00137AFD" w:rsidP="00137AFD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Cs/>
          <w:color w:val="000000"/>
          <w:sz w:val="20"/>
          <w:szCs w:val="20"/>
        </w:rPr>
        <w:t>nel caso in cui venga sottoposto/a ad intervento di rimozione di un surrene patologico secernente corticosteroidi della necessità di assumere una terapia steroidea sostitutiva, per un periodo variabile, anche a vita, soprattutto in caso di surrenectomia bilaterale, al fine di prevenire un ipocorticosurrenalismo acuto postoperatorio.</w:t>
      </w:r>
    </w:p>
    <w:p w:rsidR="00BC7D20" w:rsidRDefault="00BC7D20" w:rsidP="007111EE">
      <w:pPr>
        <w:pStyle w:val="Paragrafoelenco"/>
        <w:ind w:left="360"/>
        <w:jc w:val="both"/>
        <w:rPr>
          <w:noProof/>
          <w:sz w:val="20"/>
          <w:szCs w:val="20"/>
        </w:rPr>
      </w:pPr>
    </w:p>
    <w:p w:rsidR="00293729" w:rsidRDefault="00293729" w:rsidP="00740072">
      <w:pPr>
        <w:pStyle w:val="Standard"/>
        <w:spacing w:line="276" w:lineRule="auto"/>
        <w:jc w:val="both"/>
        <w:rPr>
          <w:b/>
          <w:bCs/>
          <w:noProof/>
          <w:color w:val="000000" w:themeColor="text1"/>
          <w:sz w:val="20"/>
          <w:szCs w:val="20"/>
        </w:rPr>
      </w:pPr>
    </w:p>
    <w:p w:rsidR="00610239" w:rsidRPr="00740072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Dichiaro di aver ricevuto esaurienti spiegazioni con particolare riguardo a: diagnosi, prognosi, benefici e rischi sia degli accertamenti diagnostici sia dei trattamenti sanitari indicati. Mi sono state illustrate le possibili alternative, le conseguenze del mio rifiuto dei trattamenti e/o accertamenti diagnostici, nonché della mia rinuncia agli stessi.</w:t>
      </w:r>
    </w:p>
    <w:p w:rsidR="00610239" w:rsidRPr="00740072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:rsidR="00610239" w:rsidRPr="00740072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 xml:space="preserve">Mi è stato spiegato che ho diritto di rifiutare in tutto o in parte di ricevere le informazioni o indicare una persona incaricata di riceverle e di esprimere il consenso in mia vece e che tutto sarà annotato in cartella e nel fascicolo sanitario. </w:t>
      </w:r>
    </w:p>
    <w:p w:rsidR="00610239" w:rsidRPr="00740072" w:rsidRDefault="00610239" w:rsidP="00740072">
      <w:pPr>
        <w:spacing w:before="120"/>
        <w:jc w:val="both"/>
        <w:rPr>
          <w:rFonts w:eastAsia="Times New Roman" w:cs="Times New Roman"/>
          <w:color w:val="000000"/>
          <w:sz w:val="20"/>
          <w:szCs w:val="20"/>
        </w:rPr>
      </w:pPr>
      <w:bookmarkStart w:id="3" w:name="_Hlk122772044"/>
      <w:bookmarkStart w:id="4" w:name="_Hlk123364343"/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>Dichiaro di aver compreso che durante l’intervento chirurgico potrebbe</w:t>
      </w:r>
      <w:bookmarkEnd w:id="3"/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 xml:space="preserve"> rendersi necessario modificare la strategia chirurgica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 sulla base della valutazione intraoperatoria della cavità addominale</w:t>
      </w:r>
      <w:bookmarkEnd w:id="4"/>
      <w:r w:rsidRPr="00740072">
        <w:rPr>
          <w:rFonts w:eastAsia="Times New Roman" w:cs="Times New Roman"/>
          <w:color w:val="000000"/>
          <w:sz w:val="20"/>
          <w:szCs w:val="20"/>
        </w:rPr>
        <w:t>.</w:t>
      </w:r>
    </w:p>
    <w:p w:rsidR="00610239" w:rsidRPr="00740072" w:rsidRDefault="00610239" w:rsidP="00740072">
      <w:pP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Mi è stato illustrato con chiarezza che potrebbe rendersi necessaria, in caso di intervento iniziato per via laparoscopica</w:t>
      </w:r>
      <w:r w:rsidR="00274F3D" w:rsidRPr="00740072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274F3D" w:rsidRPr="00740072">
        <w:rPr>
          <w:rFonts w:eastAsia="Times New Roman" w:cs="Times New Roman"/>
          <w:color w:val="000000"/>
          <w:sz w:val="20"/>
          <w:szCs w:val="20"/>
          <w:shd w:val="clear" w:color="auto" w:fill="FFFFFF" w:themeFill="background1"/>
        </w:rPr>
        <w:t>e/o robotica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, per impedimenti di carattere tecnico, legati al paziente (ad esempio motivi cardio-respiratori) o di altra natura, </w:t>
      </w:r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 xml:space="preserve">una conversione in laparotomia 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(solitamente con un’incisione verticale al centro dell’addome o in altre sedi a discrezione del chirurgo), </w:t>
      </w:r>
      <w:bookmarkStart w:id="5" w:name="_Hlk122772454"/>
      <w:r w:rsidRPr="00740072">
        <w:rPr>
          <w:rFonts w:eastAsia="Times New Roman" w:cs="Times New Roman"/>
          <w:color w:val="000000"/>
          <w:sz w:val="20"/>
          <w:szCs w:val="20"/>
        </w:rPr>
        <w:t>per poter addivenire alla corretta diagnosi e/o al fine di concludere l’intervento in sicurezza</w:t>
      </w:r>
      <w:bookmarkEnd w:id="5"/>
      <w:r w:rsidRPr="00740072">
        <w:rPr>
          <w:rFonts w:eastAsia="Times New Roman" w:cs="Times New Roman"/>
          <w:color w:val="000000"/>
          <w:sz w:val="20"/>
          <w:szCs w:val="20"/>
        </w:rPr>
        <w:t>.</w:t>
      </w:r>
    </w:p>
    <w:p w:rsidR="003734DA" w:rsidRPr="00740072" w:rsidRDefault="003734DA" w:rsidP="00740072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740072">
        <w:rPr>
          <w:noProof/>
          <w:sz w:val="20"/>
          <w:szCs w:val="20"/>
        </w:rPr>
        <w:t xml:space="preserve">Dichiaro di essere stato/a informato/a sulla patologia da cui sono affetto/a,  sugli  eventuali trattamenti terapeutici </w:t>
      </w:r>
      <w:r w:rsidR="00613DFA" w:rsidRPr="00740072">
        <w:rPr>
          <w:noProof/>
          <w:sz w:val="20"/>
          <w:szCs w:val="20"/>
        </w:rPr>
        <w:t xml:space="preserve">possibili </w:t>
      </w:r>
      <w:r w:rsidRPr="00740072">
        <w:rPr>
          <w:noProof/>
          <w:sz w:val="20"/>
          <w:szCs w:val="20"/>
        </w:rPr>
        <w:t xml:space="preserve">e sugli interventi chirurgici che vengono attualmente posti in essere secondo le linee guida nazionali ed internazionali  per il trattamento </w:t>
      </w:r>
      <w:r w:rsidR="00F379FB">
        <w:rPr>
          <w:noProof/>
          <w:sz w:val="20"/>
          <w:szCs w:val="20"/>
        </w:rPr>
        <w:t>della patologia di cui sono affetto</w:t>
      </w:r>
      <w:r w:rsidRPr="00740072">
        <w:rPr>
          <w:noProof/>
          <w:sz w:val="20"/>
          <w:szCs w:val="20"/>
        </w:rPr>
        <w:t>. Sono altresì a conoscenza che ogni trattamento viene</w:t>
      </w:r>
      <w:r w:rsidR="00431784" w:rsidRPr="00740072">
        <w:rPr>
          <w:noProof/>
          <w:sz w:val="20"/>
          <w:szCs w:val="20"/>
        </w:rPr>
        <w:t xml:space="preserve"> </w:t>
      </w:r>
      <w:r w:rsidR="00431784" w:rsidRPr="00740072">
        <w:rPr>
          <w:noProof/>
          <w:sz w:val="20"/>
          <w:szCs w:val="20"/>
          <w:shd w:val="clear" w:color="auto" w:fill="FFFFFF" w:themeFill="background1"/>
        </w:rPr>
        <w:t>eseguito</w:t>
      </w:r>
      <w:r w:rsidRPr="00740072">
        <w:rPr>
          <w:noProof/>
          <w:sz w:val="20"/>
          <w:szCs w:val="20"/>
          <w:shd w:val="clear" w:color="auto" w:fill="FFFFFF" w:themeFill="background1"/>
        </w:rPr>
        <w:t xml:space="preserve"> </w:t>
      </w:r>
      <w:r w:rsidRPr="00740072">
        <w:rPr>
          <w:noProof/>
          <w:sz w:val="20"/>
          <w:szCs w:val="20"/>
        </w:rPr>
        <w:t>in scienza e coscienza non solo in base alla patologia ma anche in base alle caratteristiche del paziente stesso (età, comorbidità, rischi chirurgici ed anestesiologici).</w:t>
      </w:r>
    </w:p>
    <w:p w:rsidR="00610239" w:rsidRPr="00740072" w:rsidRDefault="00610239" w:rsidP="00740072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3734DA" w:rsidRPr="00740072" w:rsidRDefault="003734DA" w:rsidP="00740072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740072">
        <w:rPr>
          <w:noProof/>
          <w:sz w:val="20"/>
          <w:szCs w:val="20"/>
        </w:rPr>
        <w:t xml:space="preserve">Mi hanno attentamente spiegato che verrò sottoposto ad un intervento </w:t>
      </w:r>
      <w:r w:rsidR="006E4B15">
        <w:rPr>
          <w:noProof/>
          <w:sz w:val="20"/>
          <w:szCs w:val="20"/>
        </w:rPr>
        <w:t>chirurgico</w:t>
      </w:r>
      <w:r w:rsidRPr="00740072">
        <w:rPr>
          <w:noProof/>
          <w:sz w:val="20"/>
          <w:szCs w:val="20"/>
        </w:rPr>
        <w:t xml:space="preserve"> e che i sanitari metteranno in atto tutte le conoscenze a loro disposizione al fine di ottenere il risultato migliore possibile e cercando di ridurre al massimo i fattori di rischio per la mia persona che non è possibile comunque mai azzerare.</w:t>
      </w:r>
    </w:p>
    <w:p w:rsidR="004057DF" w:rsidRDefault="004057DF" w:rsidP="006D18C7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4057DF" w:rsidRPr="004057DF" w:rsidRDefault="004057DF" w:rsidP="004057DF">
      <w:pPr>
        <w:jc w:val="both"/>
        <w:rPr>
          <w:noProof/>
          <w:sz w:val="20"/>
          <w:szCs w:val="20"/>
        </w:rPr>
      </w:pPr>
      <w:r w:rsidRPr="004057DF">
        <w:rPr>
          <w:noProof/>
          <w:sz w:val="20"/>
          <w:szCs w:val="20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:rsidR="004057DF" w:rsidRPr="004057DF" w:rsidRDefault="004057DF" w:rsidP="004057DF">
      <w:pPr>
        <w:jc w:val="both"/>
        <w:rPr>
          <w:noProof/>
          <w:sz w:val="20"/>
          <w:szCs w:val="20"/>
        </w:rPr>
      </w:pPr>
      <w:r w:rsidRPr="004057DF">
        <w:rPr>
          <w:noProof/>
          <w:sz w:val="20"/>
          <w:szCs w:val="20"/>
        </w:rPr>
        <w:t xml:space="preserve">Sono stato informato in modo chiaro ed esaustivo riguardo alle eventuali complicanze e/o conseguenze che possono derivare dall'intervento chirurgico proposto, indipendentemente dalla corretta esecuzione della procedura, di seguito elencate in modo esemplificativo e non esaustivo: </w:t>
      </w:r>
    </w:p>
    <w:p w:rsidR="003734DA" w:rsidRDefault="00017A61" w:rsidP="00017A61">
      <w:pPr>
        <w:pStyle w:val="Standard"/>
        <w:tabs>
          <w:tab w:val="left" w:pos="7254"/>
        </w:tabs>
        <w:spacing w:line="276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</w:p>
    <w:p w:rsidR="007111EE" w:rsidRPr="007111EE" w:rsidRDefault="007111EE" w:rsidP="007111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color w:val="000000"/>
          <w:sz w:val="20"/>
          <w:szCs w:val="20"/>
        </w:rPr>
        <w:t>PROBABILI (1-6,8%)</w:t>
      </w:r>
    </w:p>
    <w:p w:rsidR="007111EE" w:rsidRPr="007111EE" w:rsidRDefault="007111EE" w:rsidP="007111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/>
          <w:sz w:val="20"/>
          <w:szCs w:val="20"/>
        </w:rPr>
      </w:pPr>
    </w:p>
    <w:p w:rsidR="007111EE" w:rsidRPr="007111EE" w:rsidRDefault="007111EE" w:rsidP="007111EE">
      <w:pPr>
        <w:widowControl/>
        <w:numPr>
          <w:ilvl w:val="0"/>
          <w:numId w:val="25"/>
        </w:numPr>
        <w:pBdr>
          <w:between w:val="nil"/>
        </w:pBdr>
        <w:shd w:val="clear" w:color="auto" w:fill="FFFFFF"/>
        <w:tabs>
          <w:tab w:val="left" w:pos="426"/>
        </w:tabs>
        <w:suppressAutoHyphens w:val="0"/>
        <w:autoSpaceDN/>
        <w:jc w:val="both"/>
        <w:textAlignment w:val="auto"/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color w:val="000000"/>
          <w:sz w:val="20"/>
          <w:szCs w:val="20"/>
        </w:rPr>
        <w:t>Emorragie ed ematomi postoperatori intraperitoneali o retroperitoneali</w:t>
      </w:r>
      <w:r w:rsidRPr="007111EE">
        <w:rPr>
          <w:rFonts w:cs="Times New Roman"/>
          <w:color w:val="000000"/>
          <w:sz w:val="20"/>
          <w:szCs w:val="20"/>
        </w:rPr>
        <w:t xml:space="preserve"> che possono richiedere emotrasfusioni,</w:t>
      </w:r>
      <w:r w:rsidRPr="007111EE">
        <w:rPr>
          <w:rFonts w:cs="Times New Roman"/>
          <w:b/>
          <w:color w:val="000000"/>
          <w:sz w:val="20"/>
          <w:szCs w:val="20"/>
        </w:rPr>
        <w:t xml:space="preserve"> </w:t>
      </w:r>
      <w:r w:rsidRPr="007111EE">
        <w:rPr>
          <w:rFonts w:cs="Times New Roman"/>
          <w:color w:val="000000"/>
          <w:sz w:val="20"/>
          <w:szCs w:val="20"/>
        </w:rPr>
        <w:t>procedure di radiologia interventistica e/o re-interventi chirurgici.</w:t>
      </w:r>
    </w:p>
    <w:p w:rsidR="007111EE" w:rsidRPr="007111EE" w:rsidRDefault="007111EE" w:rsidP="007111E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Lesioni vascolari intraoperatorie di grossi vasi sanguigni arteriosi e/o venosi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che potrebbe rendere necessario e immediata la conversione con approccio tradizionale.</w:t>
      </w:r>
      <w:r w:rsidRPr="007111EE">
        <w:rPr>
          <w:rFonts w:ascii="Times New Roman" w:hAnsi="Times New Roman" w:cs="Times New Roman"/>
          <w:sz w:val="20"/>
          <w:szCs w:val="20"/>
        </w:rPr>
        <w:t xml:space="preserve"> Le emorragie maggiori possono verificarsi soprattutto in corso di surrenectomia destra, poiché si lavora a stretto contatto con la vena cava inferiore, la maggiore vena del corpo umano. Ulteriori strutture vascolari suscettibili di una potenziale lacerazione sono la vena surrenalica, la vena renale di sinistra e la vena diaframmatica inferiore sinistra.</w:t>
      </w:r>
    </w:p>
    <w:p w:rsidR="007111EE" w:rsidRPr="007111EE" w:rsidRDefault="007111EE" w:rsidP="007111EE">
      <w:pPr>
        <w:widowControl/>
        <w:numPr>
          <w:ilvl w:val="0"/>
          <w:numId w:val="25"/>
        </w:numPr>
        <w:pBdr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color w:val="000000"/>
          <w:sz w:val="20"/>
          <w:szCs w:val="20"/>
        </w:rPr>
        <w:t>Infezioni o deiscenze del</w:t>
      </w:r>
      <w:r w:rsidRPr="007111EE">
        <w:rPr>
          <w:rFonts w:cs="Times New Roman"/>
          <w:b/>
          <w:sz w:val="20"/>
          <w:szCs w:val="20"/>
        </w:rPr>
        <w:t>le ferite</w:t>
      </w:r>
      <w:r w:rsidRPr="007111EE">
        <w:rPr>
          <w:rFonts w:cs="Times New Roman"/>
          <w:b/>
          <w:color w:val="000000"/>
          <w:sz w:val="20"/>
          <w:szCs w:val="20"/>
        </w:rPr>
        <w:t xml:space="preserve"> chirurgic</w:t>
      </w:r>
      <w:r w:rsidRPr="007111EE">
        <w:rPr>
          <w:rFonts w:cs="Times New Roman"/>
          <w:b/>
          <w:sz w:val="20"/>
          <w:szCs w:val="20"/>
        </w:rPr>
        <w:t>he</w:t>
      </w:r>
      <w:r w:rsidRPr="007111EE">
        <w:rPr>
          <w:rFonts w:cs="Times New Roman"/>
          <w:color w:val="000000"/>
          <w:sz w:val="20"/>
          <w:szCs w:val="20"/>
        </w:rPr>
        <w:t>, che possono richiedere antibioticoterapie e/o medicazioni avanzate. Più frequenti nei casi di approcci chirurgici open (laparotomici o lombotomici).</w:t>
      </w:r>
    </w:p>
    <w:p w:rsidR="007111EE" w:rsidRPr="007111EE" w:rsidRDefault="007111EE" w:rsidP="007111EE">
      <w:pPr>
        <w:widowControl/>
        <w:numPr>
          <w:ilvl w:val="0"/>
          <w:numId w:val="25"/>
        </w:numPr>
        <w:pBdr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color w:val="000000"/>
          <w:sz w:val="20"/>
          <w:szCs w:val="20"/>
        </w:rPr>
        <w:t xml:space="preserve">Infezioni: </w:t>
      </w:r>
      <w:r w:rsidRPr="007111EE">
        <w:rPr>
          <w:rFonts w:cs="Times New Roman"/>
          <w:bCs/>
          <w:color w:val="000000"/>
          <w:sz w:val="20"/>
          <w:szCs w:val="20"/>
        </w:rPr>
        <w:t xml:space="preserve">che possono essere localizzate e interessare il sito chirurgico intraddominale oppure, nelle forme più gravi sistemiche. Normalmente vengono trattate conservativamente attraverso una terapia antibiotica.  Le forme localizzate possono manifestarsi con la </w:t>
      </w:r>
      <w:r w:rsidRPr="007111EE">
        <w:rPr>
          <w:rFonts w:cs="Times New Roman"/>
          <w:b/>
          <w:color w:val="000000"/>
          <w:sz w:val="20"/>
          <w:szCs w:val="20"/>
        </w:rPr>
        <w:t>formazione di raccolte o di ascessi intra-addominali</w:t>
      </w:r>
      <w:r w:rsidRPr="007111EE">
        <w:rPr>
          <w:rFonts w:cs="Times New Roman"/>
          <w:color w:val="000000"/>
          <w:sz w:val="20"/>
          <w:szCs w:val="20"/>
        </w:rPr>
        <w:t xml:space="preserve"> che possono richiedere antibioticoterapia associato a trattamenti di drenaggio percutaneo o più raramente un re-intervento </w:t>
      </w:r>
      <w:r w:rsidRPr="007111EE">
        <w:rPr>
          <w:rFonts w:cs="Times New Roman"/>
          <w:color w:val="000000"/>
          <w:sz w:val="20"/>
          <w:szCs w:val="20"/>
        </w:rPr>
        <w:lastRenderedPageBreak/>
        <w:t>chirurgico</w:t>
      </w:r>
      <w:r w:rsidRPr="007111EE">
        <w:rPr>
          <w:rFonts w:cs="Times New Roman"/>
          <w:bCs/>
          <w:color w:val="000000"/>
          <w:sz w:val="20"/>
          <w:szCs w:val="20"/>
        </w:rPr>
        <w:t>. L’eventualità più pericolosa è rappresentata dalla infezioni sistemiche di cui, la sepsi urinari (&lt;3% dei casi), cioè un infezione delle vie urinarie con i batteri che raggiungono e invadono il torrente circolatorio è la causa più comune e colpisce tipicamente i  pazienti più defedati o con plurime comorbidità.</w:t>
      </w:r>
    </w:p>
    <w:p w:rsidR="007111EE" w:rsidRPr="007111EE" w:rsidRDefault="007111EE" w:rsidP="007111EE">
      <w:pPr>
        <w:pStyle w:val="Paragrafoelenco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L’insorgenza di alterazioni intraoperatorie della pressione arteriosa (crisi ipertensive, ipotensione),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con possibile insorgenza di accidenti cerebro-cardio-vascolari (ictus cerebrali, aritmie cardiache, infarto miocardio, scompenso cardiaco), soprattutto in caso di intervento per Feocromocitoma.</w:t>
      </w:r>
    </w:p>
    <w:p w:rsidR="007111EE" w:rsidRPr="007111EE" w:rsidRDefault="007111EE" w:rsidP="007111EE">
      <w:pPr>
        <w:pStyle w:val="Paragrafoelenco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Disturbi elettrolitici: </w:t>
      </w:r>
      <w:r w:rsidRPr="007111EE">
        <w:rPr>
          <w:rFonts w:ascii="Times New Roman" w:hAnsi="Times New Roman" w:cs="Times New Roman"/>
          <w:bCs/>
          <w:color w:val="000000"/>
          <w:sz w:val="20"/>
          <w:szCs w:val="20"/>
        </w:rPr>
        <w:t>sono una complicanza metabolica relativa alla carenza degli ormoni prodotti dalla ghiandola surrenalica che regolano i livello di sodio e potassio nel sangue. Gli squilibri idroelettrolitici  di più comune riscontro sono l’ipokaliemia e l’iponatriemia. Entrambe le condizioni vengono trattate attraverso l’infusione di farmaci e soluzioni specifiche volte al ripristino die valori di normalità.</w:t>
      </w:r>
    </w:p>
    <w:p w:rsidR="007111EE" w:rsidRPr="007111EE" w:rsidRDefault="007111EE" w:rsidP="007111EE">
      <w:pPr>
        <w:widowControl/>
        <w:numPr>
          <w:ilvl w:val="0"/>
          <w:numId w:val="25"/>
        </w:numPr>
        <w:pBdr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color w:val="000000"/>
          <w:sz w:val="20"/>
          <w:szCs w:val="20"/>
        </w:rPr>
        <w:t xml:space="preserve">Complicanze sistemiche a carico di cuore, polmoni, reni, fegato, cervello </w:t>
      </w:r>
      <w:r w:rsidRPr="007111EE">
        <w:rPr>
          <w:rFonts w:cs="Times New Roman"/>
          <w:color w:val="000000"/>
          <w:sz w:val="20"/>
          <w:szCs w:val="20"/>
        </w:rPr>
        <w:t>possono verificarsi, soprattutto in soggetti anziani e/o con importanti malattie d’organo (coronaropatie, insufficienza renale o epatica o respiratoria) o sistemiche (diabete, dismetabolismi, defedamento), così come in corso o dopo qualunque manovra anestesiologica, chirurgica, farmacologica.</w:t>
      </w:r>
    </w:p>
    <w:p w:rsidR="007111EE" w:rsidRPr="007111EE" w:rsidRDefault="007111EE" w:rsidP="007111EE">
      <w:pPr>
        <w:rPr>
          <w:rFonts w:eastAsia="Liberation Serif" w:cs="Times New Roman"/>
          <w:b/>
          <w:color w:val="000000"/>
          <w:sz w:val="20"/>
          <w:szCs w:val="20"/>
        </w:rPr>
      </w:pPr>
    </w:p>
    <w:p w:rsidR="007111EE" w:rsidRPr="007111EE" w:rsidRDefault="007111EE" w:rsidP="007111EE">
      <w:pPr>
        <w:rPr>
          <w:rFonts w:eastAsia="Liberation Serif" w:cs="Times New Roman"/>
          <w:b/>
          <w:color w:val="000000"/>
          <w:sz w:val="20"/>
          <w:szCs w:val="20"/>
        </w:rPr>
      </w:pPr>
    </w:p>
    <w:p w:rsidR="007111EE" w:rsidRPr="007111EE" w:rsidRDefault="007111EE" w:rsidP="007111EE">
      <w:pPr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eastAsia="Liberation Serif" w:cs="Times New Roman"/>
          <w:b/>
          <w:color w:val="000000"/>
          <w:sz w:val="20"/>
          <w:szCs w:val="20"/>
        </w:rPr>
        <w:t>POCO PROBABILI (0.9-0,3%)</w:t>
      </w:r>
    </w:p>
    <w:p w:rsidR="007111EE" w:rsidRPr="007111EE" w:rsidRDefault="007111EE" w:rsidP="007111EE">
      <w:pPr>
        <w:rPr>
          <w:rFonts w:eastAsia="Liberation Serif" w:cs="Times New Roman"/>
          <w:b/>
          <w:color w:val="000000"/>
          <w:sz w:val="20"/>
          <w:szCs w:val="20"/>
        </w:rPr>
      </w:pPr>
    </w:p>
    <w:p w:rsidR="007111EE" w:rsidRPr="007111EE" w:rsidRDefault="007111EE" w:rsidP="007111EE">
      <w:pPr>
        <w:widowControl/>
        <w:numPr>
          <w:ilvl w:val="0"/>
          <w:numId w:val="25"/>
        </w:numPr>
        <w:tabs>
          <w:tab w:val="left" w:pos="141"/>
          <w:tab w:val="left" w:pos="283"/>
        </w:tabs>
        <w:suppressAutoHyphens w:val="0"/>
        <w:autoSpaceDN/>
        <w:jc w:val="both"/>
        <w:textAlignment w:val="auto"/>
        <w:rPr>
          <w:rFonts w:cs="Times New Roman"/>
          <w:sz w:val="20"/>
          <w:szCs w:val="20"/>
        </w:rPr>
      </w:pPr>
      <w:r w:rsidRPr="007111EE">
        <w:rPr>
          <w:rFonts w:cs="Times New Roman"/>
          <w:b/>
          <w:bCs/>
          <w:sz w:val="20"/>
          <w:szCs w:val="20"/>
        </w:rPr>
        <w:t>Lesioni della milza,</w:t>
      </w:r>
      <w:r w:rsidRPr="007111EE">
        <w:rPr>
          <w:rFonts w:cs="Times New Roman"/>
          <w:sz w:val="20"/>
          <w:szCs w:val="20"/>
        </w:rPr>
        <w:t xml:space="preserve"> in corso di surrenectomia sinistra, con conseguente eventualità di dover praticare una splenectomia, ovvero l’asportazione della milza; tale intervento può comportare nel postoperatorio un incremento della concentrazione di piastrine nel sangue, con rischio di trombosi, e disturbi dell’immunità e con aumentato rischio di infezioni da parte di batteri capsulati (incremento del 5% in tutta la vita rispetto alla popolazione generale). </w:t>
      </w:r>
    </w:p>
    <w:p w:rsidR="007111EE" w:rsidRPr="007111EE" w:rsidRDefault="007111EE" w:rsidP="007111EE">
      <w:pPr>
        <w:widowControl/>
        <w:numPr>
          <w:ilvl w:val="0"/>
          <w:numId w:val="25"/>
        </w:numPr>
        <w:tabs>
          <w:tab w:val="left" w:pos="141"/>
          <w:tab w:val="left" w:pos="283"/>
        </w:tabs>
        <w:suppressAutoHyphens w:val="0"/>
        <w:autoSpaceDN/>
        <w:jc w:val="both"/>
        <w:textAlignment w:val="auto"/>
        <w:rPr>
          <w:rFonts w:cs="Times New Roman"/>
          <w:sz w:val="20"/>
          <w:szCs w:val="20"/>
        </w:rPr>
      </w:pPr>
      <w:r w:rsidRPr="007111EE">
        <w:rPr>
          <w:rFonts w:cs="Times New Roman"/>
          <w:b/>
          <w:bCs/>
          <w:sz w:val="20"/>
          <w:szCs w:val="20"/>
        </w:rPr>
        <w:t xml:space="preserve">Lesioni pancreatiche, </w:t>
      </w:r>
      <w:r w:rsidRPr="007111EE">
        <w:rPr>
          <w:rFonts w:cs="Times New Roman"/>
          <w:sz w:val="20"/>
          <w:szCs w:val="20"/>
        </w:rPr>
        <w:t xml:space="preserve">in corso di surrenectomia sinistra, che può esitare in una </w:t>
      </w:r>
      <w:r w:rsidRPr="007111EE">
        <w:rPr>
          <w:rFonts w:cs="Times New Roman"/>
          <w:b/>
          <w:bCs/>
          <w:sz w:val="20"/>
          <w:szCs w:val="20"/>
        </w:rPr>
        <w:t xml:space="preserve"> pancreatite acuta. </w:t>
      </w:r>
      <w:r>
        <w:rPr>
          <w:rFonts w:cs="Times New Roman"/>
          <w:sz w:val="20"/>
          <w:szCs w:val="20"/>
        </w:rPr>
        <w:t>Si tratta di una</w:t>
      </w:r>
      <w:r w:rsidRPr="007111EE">
        <w:rPr>
          <w:rFonts w:cs="Times New Roman"/>
          <w:sz w:val="20"/>
          <w:szCs w:val="20"/>
        </w:rPr>
        <w:t xml:space="preserve"> complicanza medica grave che verrà trattata con terapia medica specifica Nei casi più gravi gli enzimi pancreatici possono essere direttamente rilasciati all’interno della cavità addominale, a seguito della lesione provocata, determinando una </w:t>
      </w:r>
      <w:r w:rsidRPr="007111EE">
        <w:rPr>
          <w:rFonts w:cs="Times New Roman"/>
          <w:b/>
          <w:bCs/>
          <w:sz w:val="20"/>
          <w:szCs w:val="20"/>
        </w:rPr>
        <w:t>fistola pancreatica</w:t>
      </w:r>
      <w:r w:rsidRPr="007111EE">
        <w:rPr>
          <w:rFonts w:cs="Times New Roman"/>
          <w:sz w:val="20"/>
          <w:szCs w:val="20"/>
        </w:rPr>
        <w:t xml:space="preserve"> (0,6% ).</w:t>
      </w:r>
    </w:p>
    <w:p w:rsidR="007111EE" w:rsidRPr="007111EE" w:rsidRDefault="007111EE" w:rsidP="007111EE">
      <w:pPr>
        <w:widowControl/>
        <w:numPr>
          <w:ilvl w:val="0"/>
          <w:numId w:val="25"/>
        </w:numPr>
        <w:pBdr>
          <w:between w:val="nil"/>
        </w:pBdr>
        <w:shd w:val="clear" w:color="auto" w:fill="FFFFFF"/>
        <w:tabs>
          <w:tab w:val="left" w:pos="426"/>
        </w:tabs>
        <w:suppressAutoHyphens w:val="0"/>
        <w:autoSpaceDN/>
        <w:jc w:val="both"/>
        <w:textAlignment w:val="auto"/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eastAsia="Liberation Serif" w:cs="Times New Roman"/>
          <w:b/>
          <w:color w:val="000000"/>
          <w:sz w:val="20"/>
          <w:szCs w:val="20"/>
        </w:rPr>
        <w:t xml:space="preserve">Torsioni del blocco spleno-pancreatico </w:t>
      </w:r>
      <w:r w:rsidRPr="007111EE">
        <w:rPr>
          <w:rFonts w:eastAsia="Liberation Serif" w:cs="Times New Roman"/>
          <w:color w:val="000000"/>
          <w:sz w:val="20"/>
          <w:szCs w:val="20"/>
        </w:rPr>
        <w:t xml:space="preserve">in caso di non adeguato riposizionamento di milza e coda pancreas in corso di surrenectomia sinistra con  ischemia di tali organi e necessità di reintervento chirurgico. </w:t>
      </w:r>
    </w:p>
    <w:p w:rsidR="007111EE" w:rsidRPr="007111EE" w:rsidRDefault="007111EE" w:rsidP="007111EE">
      <w:pPr>
        <w:widowControl/>
        <w:numPr>
          <w:ilvl w:val="0"/>
          <w:numId w:val="25"/>
        </w:numPr>
        <w:pBdr>
          <w:between w:val="nil"/>
        </w:pBdr>
        <w:shd w:val="clear" w:color="auto" w:fill="FFFFFF"/>
        <w:tabs>
          <w:tab w:val="left" w:pos="426"/>
        </w:tabs>
        <w:suppressAutoHyphens w:val="0"/>
        <w:autoSpaceDN/>
        <w:jc w:val="both"/>
        <w:textAlignment w:val="auto"/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eastAsia="Liberation Serif" w:cs="Times New Roman"/>
          <w:b/>
          <w:color w:val="000000"/>
          <w:sz w:val="20"/>
          <w:szCs w:val="20"/>
        </w:rPr>
        <w:t xml:space="preserve">Lesioni renali </w:t>
      </w:r>
      <w:r w:rsidRPr="007111EE">
        <w:rPr>
          <w:rFonts w:eastAsia="Liberation Serif" w:cs="Times New Roman"/>
          <w:color w:val="000000"/>
          <w:sz w:val="20"/>
          <w:szCs w:val="20"/>
        </w:rPr>
        <w:t>a carico del parenchima o delle strutture vascolari del peduncolo renale e/o di rami polari accessori che potrebbero danneggiarlo nella sua funzionalità complessiva.</w:t>
      </w:r>
    </w:p>
    <w:p w:rsidR="007111EE" w:rsidRPr="007111EE" w:rsidRDefault="007111EE" w:rsidP="007111EE">
      <w:pPr>
        <w:widowControl/>
        <w:numPr>
          <w:ilvl w:val="0"/>
          <w:numId w:val="26"/>
        </w:numPr>
        <w:pBdr>
          <w:between w:val="nil"/>
        </w:pBdr>
        <w:shd w:val="clear" w:color="auto" w:fill="FFFFFF"/>
        <w:tabs>
          <w:tab w:val="left" w:pos="426"/>
        </w:tabs>
        <w:suppressAutoHyphens w:val="0"/>
        <w:autoSpaceDN/>
        <w:jc w:val="both"/>
        <w:textAlignment w:val="auto"/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bCs/>
          <w:sz w:val="20"/>
          <w:szCs w:val="20"/>
        </w:rPr>
        <w:t>Lesioni diaframmatiche</w:t>
      </w:r>
      <w:r w:rsidRPr="007111EE">
        <w:rPr>
          <w:rFonts w:cs="Times New Roman"/>
          <w:sz w:val="20"/>
          <w:szCs w:val="20"/>
        </w:rPr>
        <w:t xml:space="preserve">: Il diaframma è un organo muscolare che separa torace dalla cavità addominale. La sua accidentale lesione può determinare un versamento di sangue e liquido tra i due foglietti della pleura </w:t>
      </w:r>
      <w:r w:rsidRPr="007111EE">
        <w:rPr>
          <w:rFonts w:cs="Times New Roman"/>
          <w:b/>
          <w:bCs/>
          <w:sz w:val="20"/>
          <w:szCs w:val="20"/>
        </w:rPr>
        <w:t>(versamento pleurico)</w:t>
      </w:r>
      <w:r w:rsidRPr="007111EE">
        <w:rPr>
          <w:rFonts w:cs="Times New Roman"/>
          <w:sz w:val="20"/>
          <w:szCs w:val="20"/>
        </w:rPr>
        <w:t xml:space="preserve"> oppure di aria </w:t>
      </w:r>
      <w:r w:rsidRPr="007111EE">
        <w:rPr>
          <w:rFonts w:cs="Times New Roman"/>
          <w:b/>
          <w:bCs/>
          <w:sz w:val="20"/>
          <w:szCs w:val="20"/>
        </w:rPr>
        <w:t>(pneumotorace)</w:t>
      </w:r>
      <w:r w:rsidRPr="007111EE">
        <w:rPr>
          <w:rFonts w:cs="Times New Roman"/>
          <w:sz w:val="20"/>
          <w:szCs w:val="20"/>
        </w:rPr>
        <w:t>. Queste complicanze si possono verificare soprattutto in seguito a surrenectomia laparoscopica oppure open per via lombotomica. Piccoli pneumotoraci possono essere trattati con la semplice osservazione, mentre pneumotoraci di maggiori dimensioni possono richiedere il posizionamento di un drenaggio pleurico.</w:t>
      </w:r>
    </w:p>
    <w:p w:rsidR="007111EE" w:rsidRPr="007111EE" w:rsidRDefault="007111EE" w:rsidP="007111EE">
      <w:pPr>
        <w:widowControl/>
        <w:numPr>
          <w:ilvl w:val="0"/>
          <w:numId w:val="26"/>
        </w:numPr>
        <w:pBdr>
          <w:between w:val="nil"/>
        </w:pBdr>
        <w:shd w:val="clear" w:color="auto" w:fill="FFFFFF"/>
        <w:tabs>
          <w:tab w:val="left" w:pos="426"/>
        </w:tabs>
        <w:suppressAutoHyphens w:val="0"/>
        <w:autoSpaceDN/>
        <w:jc w:val="both"/>
        <w:textAlignment w:val="auto"/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cs="Times New Roman"/>
          <w:b/>
          <w:color w:val="000000"/>
          <w:sz w:val="20"/>
          <w:szCs w:val="20"/>
        </w:rPr>
        <w:t>Lesioni di visceri cavi</w:t>
      </w:r>
      <w:r w:rsidRPr="007111EE">
        <w:rPr>
          <w:rFonts w:cs="Times New Roman"/>
          <w:color w:val="000000"/>
          <w:sz w:val="20"/>
          <w:szCs w:val="20"/>
        </w:rPr>
        <w:t xml:space="preserve">, il più delle volte dovute alla lisi delle aderenze presenti. </w:t>
      </w:r>
      <w:r w:rsidRPr="007111EE">
        <w:rPr>
          <w:rFonts w:cs="Times New Roman"/>
          <w:sz w:val="20"/>
          <w:szCs w:val="20"/>
        </w:rPr>
        <w:t>Le perforazioni dell’ileo (intestino tenue) o del colon (intestino crasso) sono  incidentali. Se minima, la lesione è suturata nel corso dell'intervento stesso; quando è invece di dimensioni maggiori, la sola sutura dell’organo non dà sufficienti garanzie e si è soliti confezionare una ileostomia/colostomia temporanea (sacchetto per le feci sulla parete addominale) per permettere una più sicura guarigione, che avviene in alcuni mesi.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Crisi addisoniana o ipocorticosurrenalismo acuto,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ovvero un corredo sintomi tali da influenzare l’emodinamica e lo stato neurologico del paziente conseguente ad una ridotta o assente produzione di corticosteroidi che potrebbe osservarsi nei casi di surrenectomia bilaterale o monolaterale per asportazione di neoformazioni secernenti corticosteroidi con una inadeguata copertura farmacologica.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bCs/>
          <w:sz w:val="20"/>
          <w:szCs w:val="20"/>
        </w:rPr>
        <w:t>Lacerazione dello specimen</w:t>
      </w:r>
      <w:r w:rsidRPr="007111EE">
        <w:rPr>
          <w:rFonts w:ascii="Times New Roman" w:hAnsi="Times New Roman" w:cs="Times New Roman"/>
          <w:sz w:val="20"/>
          <w:szCs w:val="20"/>
        </w:rPr>
        <w:t>: La ghiandola surrenalica ha una struttura soffice e di conseguenza fragile. L’eventuale rottura della capsula che potrebbe verificarsi durante le manovre chirurgiche, potrebbe comportare, nei casi sospetti o confermati di neoformazioni surrenaliche maligne la conversione a cielo aperto.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bCs/>
          <w:sz w:val="20"/>
          <w:szCs w:val="20"/>
        </w:rPr>
        <w:t>Trombosi venosa profonda (TVP)/Embolia polmonare</w:t>
      </w:r>
      <w:r w:rsidRPr="007111EE">
        <w:rPr>
          <w:rFonts w:ascii="Times New Roman" w:hAnsi="Times New Roman" w:cs="Times New Roman"/>
          <w:sz w:val="20"/>
          <w:szCs w:val="20"/>
        </w:rPr>
        <w:t>: Nelle vene, soprattutto a livello degli arti inferiori, possono formarsi dei trombi, dai quali si possono staccare degli emboli, che, seguendo la circolazione del sangue, raggiungono i polmoni e causano un’embolia polmonare; per prevenire la trombosi venosa profonda e l’embolia polmonare si instaura una terapia profilattica a base di eparina a basso peso molecolare; inoltre nei primi giorni dopo l’operazione si forniscono al paziente apposite calze contenitive.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pBdr>
          <w:between w:val="nil"/>
        </w:pBdr>
        <w:shd w:val="clear" w:color="auto" w:fill="FFFFFF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bCs/>
          <w:sz w:val="20"/>
          <w:szCs w:val="20"/>
        </w:rPr>
        <w:t>Subocclusione o occlusione intestinale</w:t>
      </w:r>
      <w:r w:rsidRPr="007111EE">
        <w:rPr>
          <w:rFonts w:ascii="Times New Roman" w:hAnsi="Times New Roman" w:cs="Times New Roman"/>
          <w:sz w:val="20"/>
          <w:szCs w:val="20"/>
        </w:rPr>
        <w:t>: Essa può essere di due tipi: l’occlusione dinamica, dovuta alla ritardata ripresa della motilità intestinale (ileo paralitico), viene trattata con il posizionamento/mantenimento del sondino naso-gastrico e la somministrazione di farmaci che favoriscono la ripresa della peristalsi. L’occlusione meccanica, dovuta al formarsi di aderenze tra le anse che possono angolarsi e impedire il regolare transito intestinale, richiede solitamente il re-intervento per la rimozione della causa occlusiva.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pBdr>
          <w:between w:val="nil"/>
        </w:pBdr>
        <w:shd w:val="clear" w:color="auto" w:fill="FFFFFF"/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>Cheloidi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Laparocele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 xml:space="preserve"> (ernia in corrispondenza del sito chirurgico), con necessità di ul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teriore intervento chirurgico,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maggiormente evidenti in caso di interventi laparotomici.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pBdr>
          <w:between w:val="nil"/>
        </w:pBdr>
        <w:shd w:val="clear" w:color="auto" w:fill="FFFFFF"/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Ipoestesia e relaxatio della parete addominale,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più frequente in caso di lombotomie o accessi retroperitoneiscopici.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pBdr>
          <w:between w:val="nil"/>
        </w:pBdr>
        <w:shd w:val="clear" w:color="auto" w:fill="FFFFFF"/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bCs/>
          <w:sz w:val="20"/>
          <w:szCs w:val="20"/>
        </w:rPr>
        <w:t>Decesso perioperatorio o postopertaorio</w:t>
      </w:r>
      <w:r w:rsidRPr="007111EE">
        <w:rPr>
          <w:rFonts w:ascii="Times New Roman" w:hAnsi="Times New Roman" w:cs="Times New Roman"/>
          <w:sz w:val="20"/>
          <w:szCs w:val="20"/>
        </w:rPr>
        <w:t>: Nonostante la marginale mortalità perioperatoria l’intervento di surrenalectomia deve essere considerato un intervento di chirurgia maggiore.</w:t>
      </w:r>
    </w:p>
    <w:p w:rsidR="007111EE" w:rsidRPr="007111EE" w:rsidRDefault="007111EE" w:rsidP="007111EE">
      <w:pPr>
        <w:pBdr>
          <w:between w:val="nil"/>
        </w:pBdr>
        <w:shd w:val="clear" w:color="auto" w:fill="FFFFFF"/>
        <w:tabs>
          <w:tab w:val="left" w:pos="426"/>
        </w:tabs>
        <w:jc w:val="both"/>
        <w:rPr>
          <w:rFonts w:eastAsia="Liberation Serif" w:cs="Times New Roman"/>
          <w:b/>
          <w:color w:val="000000"/>
          <w:sz w:val="20"/>
          <w:szCs w:val="20"/>
        </w:rPr>
      </w:pPr>
    </w:p>
    <w:p w:rsidR="007111EE" w:rsidRPr="007111EE" w:rsidRDefault="007111EE" w:rsidP="007111EE">
      <w:pPr>
        <w:pBdr>
          <w:between w:val="nil"/>
        </w:pBdr>
        <w:shd w:val="clear" w:color="auto" w:fill="FFFFFF"/>
        <w:tabs>
          <w:tab w:val="left" w:pos="426"/>
        </w:tabs>
        <w:jc w:val="both"/>
        <w:rPr>
          <w:rFonts w:eastAsia="Liberation Serif" w:cs="Times New Roman"/>
          <w:b/>
          <w:color w:val="000000"/>
          <w:sz w:val="20"/>
          <w:szCs w:val="20"/>
        </w:rPr>
      </w:pPr>
      <w:r w:rsidRPr="007111EE">
        <w:rPr>
          <w:rFonts w:eastAsia="Liberation Serif" w:cs="Times New Roman"/>
          <w:b/>
          <w:color w:val="000000"/>
          <w:sz w:val="20"/>
          <w:szCs w:val="20"/>
        </w:rPr>
        <w:t>RARE (&lt; 0,3%)</w:t>
      </w:r>
    </w:p>
    <w:p w:rsidR="007111EE" w:rsidRPr="007111EE" w:rsidRDefault="007111EE" w:rsidP="007111EE">
      <w:pPr>
        <w:pBdr>
          <w:between w:val="nil"/>
        </w:pBdr>
        <w:shd w:val="clear" w:color="auto" w:fill="FFFFFF"/>
        <w:jc w:val="both"/>
        <w:rPr>
          <w:rFonts w:cs="Times New Roman"/>
          <w:b/>
          <w:color w:val="000000"/>
          <w:sz w:val="20"/>
          <w:szCs w:val="20"/>
        </w:rPr>
      </w:pPr>
    </w:p>
    <w:p w:rsidR="007111EE" w:rsidRPr="007111EE" w:rsidRDefault="007111EE" w:rsidP="007111EE">
      <w:pPr>
        <w:pStyle w:val="Paragrafoelenco"/>
        <w:numPr>
          <w:ilvl w:val="0"/>
          <w:numId w:val="26"/>
        </w:numPr>
        <w:pBdr>
          <w:between w:val="nil"/>
        </w:pBdr>
        <w:shd w:val="clear" w:color="auto" w:fill="FFFFFF"/>
        <w:suppressAutoHyphens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Fistola Chilosa,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in caso di surrenectomia sinistra.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pBdr>
          <w:between w:val="nil"/>
        </w:pBd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1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Sindrome di Nelson, </w:t>
      </w:r>
      <w:r w:rsidRPr="007111EE">
        <w:rPr>
          <w:rFonts w:ascii="Times New Roman" w:hAnsi="Times New Roman" w:cs="Times New Roman"/>
          <w:color w:val="000000"/>
          <w:sz w:val="20"/>
          <w:szCs w:val="20"/>
        </w:rPr>
        <w:t>osservata nei pazienti sottoposti a surrenectomia bilaterale dopo per sindrome di Cushing ed è caratterizzata da un incremento compensatorio della ghiandola ipofisiaria con ipersecrezione di ACHT e iperpigmentazione cutanea.</w:t>
      </w:r>
    </w:p>
    <w:p w:rsidR="007111EE" w:rsidRPr="007111EE" w:rsidRDefault="007111EE" w:rsidP="007111EE">
      <w:pPr>
        <w:pStyle w:val="Paragrafoelenco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7111EE">
        <w:rPr>
          <w:rFonts w:ascii="Times New Roman" w:hAnsi="Times New Roman" w:cs="Times New Roman"/>
          <w:b/>
          <w:sz w:val="20"/>
          <w:szCs w:val="20"/>
        </w:rPr>
        <w:t>Embolia polmonare gassosa</w:t>
      </w:r>
      <w:r w:rsidRPr="007111EE">
        <w:rPr>
          <w:rFonts w:ascii="Times New Roman" w:hAnsi="Times New Roman" w:cs="Times New Roman"/>
          <w:sz w:val="20"/>
          <w:szCs w:val="20"/>
        </w:rPr>
        <w:t xml:space="preserve">, causata dall’ingresso del gas (anidride carbonica) nei grossi vasi utilizzata in corso di interventi mininvasivi. </w:t>
      </w:r>
    </w:p>
    <w:p w:rsidR="007111EE" w:rsidRDefault="007111EE" w:rsidP="007111EE">
      <w:pPr>
        <w:pStyle w:val="Paragrafoelenco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7111EE">
        <w:rPr>
          <w:rFonts w:ascii="Times New Roman" w:hAnsi="Times New Roman" w:cs="Times New Roman"/>
          <w:b/>
          <w:sz w:val="20"/>
          <w:szCs w:val="20"/>
        </w:rPr>
        <w:t>Ipercapnia</w:t>
      </w:r>
      <w:r w:rsidRPr="007111EE">
        <w:rPr>
          <w:rFonts w:ascii="Times New Roman" w:hAnsi="Times New Roman" w:cs="Times New Roman"/>
          <w:sz w:val="20"/>
          <w:szCs w:val="20"/>
        </w:rPr>
        <w:t>, che consiste nell’ eccessivo assorbimento di anidride carbonica nel sangue.</w:t>
      </w:r>
    </w:p>
    <w:p w:rsidR="007111EE" w:rsidRPr="007111EE" w:rsidRDefault="007111EE" w:rsidP="007111EE">
      <w:pPr>
        <w:pStyle w:val="Paragrafoelenco"/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</w:p>
    <w:p w:rsidR="008B413A" w:rsidRPr="007111EE" w:rsidRDefault="008B413A" w:rsidP="005B318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7111EE">
        <w:rPr>
          <w:rFonts w:cs="Times New Roman"/>
          <w:b/>
          <w:sz w:val="20"/>
          <w:szCs w:val="20"/>
        </w:rPr>
        <w:t>Altre complicanze</w:t>
      </w:r>
      <w:r w:rsidRPr="007111EE">
        <w:rPr>
          <w:rFonts w:cs="Times New Roman"/>
          <w:sz w:val="20"/>
          <w:szCs w:val="20"/>
        </w:rPr>
        <w:t>: includono enfisema sottocutaneo o mediastinico, embolia polmonare gassosa, ipercapnia (causato dalla diffusione dei gas utilizzati in chirurgia mininvasiva)</w:t>
      </w:r>
      <w:r w:rsidR="003954EE" w:rsidRPr="007111EE">
        <w:rPr>
          <w:rFonts w:cs="Times New Roman"/>
          <w:sz w:val="20"/>
          <w:szCs w:val="20"/>
        </w:rPr>
        <w:t>.</w:t>
      </w:r>
    </w:p>
    <w:p w:rsidR="00293729" w:rsidRPr="007111EE" w:rsidRDefault="00293729" w:rsidP="005B318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7111EE">
        <w:rPr>
          <w:rFonts w:cs="Times New Roman"/>
          <w:b/>
          <w:sz w:val="20"/>
          <w:szCs w:val="20"/>
        </w:rPr>
        <w:t>Complicanze da sepsi:</w:t>
      </w:r>
      <w:r w:rsidRPr="007111EE">
        <w:rPr>
          <w:rFonts w:cs="Times New Roman"/>
          <w:sz w:val="20"/>
          <w:szCs w:val="20"/>
        </w:rPr>
        <w:t xml:space="preserve"> La sepsi rappresenta una grave infezione generalizzata del corpo. Può verificarsi come risultato di un'infezione che si sviluppa nella zona operata o si diffonde da altre parti del corpo. </w:t>
      </w:r>
    </w:p>
    <w:p w:rsidR="00293729" w:rsidRPr="007111EE" w:rsidRDefault="00293729" w:rsidP="005B318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7111EE">
        <w:rPr>
          <w:rFonts w:cs="Times New Roman"/>
          <w:b/>
          <w:sz w:val="20"/>
          <w:szCs w:val="20"/>
        </w:rPr>
        <w:t>Complicanze sistemiche</w:t>
      </w:r>
      <w:r w:rsidRPr="007111EE">
        <w:rPr>
          <w:rFonts w:cs="Times New Roman"/>
          <w:sz w:val="20"/>
          <w:szCs w:val="20"/>
        </w:rPr>
        <w:t xml:space="preserve"> che coinvolgono il cuore, i polmoni, i reni, il fegato e il sistema nervoso. Queste complicanze possono variare in frequenza e gravità a seconda delle condizioni preesistenti. L'equipe medica adotterà misure preventive e monitorerà attentamente il paziente per rilevare e trattare tempestivamente eventuali complicanze sistemiche.</w:t>
      </w:r>
    </w:p>
    <w:p w:rsidR="00293729" w:rsidRPr="007111EE" w:rsidRDefault="00293729" w:rsidP="005B318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7111EE">
        <w:rPr>
          <w:rFonts w:cs="Times New Roman"/>
          <w:b/>
          <w:sz w:val="20"/>
          <w:szCs w:val="20"/>
        </w:rPr>
        <w:t>Decesso</w:t>
      </w:r>
      <w:r w:rsidRPr="007111EE">
        <w:rPr>
          <w:rFonts w:cs="Times New Roman"/>
          <w:sz w:val="20"/>
          <w:szCs w:val="20"/>
        </w:rPr>
        <w:t>: l'incidenza delle complicanze può essere influenzata da malattie preesistenti e dalla gravità della condizione clinica. In casi rari, le complicanze</w:t>
      </w:r>
      <w:r w:rsidRPr="007111EE">
        <w:rPr>
          <w:rFonts w:cs="Times New Roman"/>
          <w:color w:val="000000"/>
          <w:sz w:val="20"/>
          <w:szCs w:val="20"/>
        </w:rPr>
        <w:t xml:space="preserve"> possano gravare fino a poter determinare, il decesso.</w:t>
      </w:r>
    </w:p>
    <w:p w:rsidR="003E2CE8" w:rsidRPr="004057DF" w:rsidRDefault="003E2CE8" w:rsidP="004057DF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4057DF" w:rsidRP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manifestazione della mia volontà. </w:t>
      </w:r>
    </w:p>
    <w:p w:rsidR="004057DF" w:rsidRP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>Sono stato informato che la mia accettazione, revoca o rifiuto ai trattamenti saranno annotati in cartella e nel fascicolo elettronico sanitario.</w:t>
      </w:r>
    </w:p>
    <w:p w:rsidR="004057DF" w:rsidRP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:rsid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i w:val="0"/>
          <w:color w:val="FF0000"/>
          <w:sz w:val="20"/>
        </w:rPr>
      </w:pPr>
      <w:r w:rsidRPr="004057DF">
        <w:rPr>
          <w:rStyle w:val="Titolodellibro"/>
          <w:rFonts w:cs="Times New Roman"/>
          <w:b w:val="0"/>
          <w:i w:val="0"/>
          <w:sz w:val="20"/>
        </w:rPr>
        <w:t>Sono stato anche informato che i tassi di insorgenza delle eventuali complicanze, anche nel postoperatorio, possono variare a seconda delle condizioni cliniche del paziente e della gravità della patologia</w:t>
      </w:r>
      <w:r w:rsidRPr="004057DF">
        <w:rPr>
          <w:rStyle w:val="Titolodellibro"/>
          <w:rFonts w:cs="Times New Roman"/>
          <w:b w:val="0"/>
          <w:i w:val="0"/>
          <w:color w:val="FF0000"/>
          <w:sz w:val="20"/>
        </w:rPr>
        <w:t>.</w:t>
      </w:r>
    </w:p>
    <w:p w:rsidR="004057DF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color w:val="FF0000"/>
          <w:sz w:val="20"/>
        </w:rPr>
      </w:pPr>
    </w:p>
    <w:p w:rsidR="004057DF" w:rsidRPr="007F254D" w:rsidRDefault="004057DF" w:rsidP="004057DF">
      <w:pPr>
        <w:pStyle w:val="Nessunaspaziatura"/>
        <w:spacing w:after="120"/>
        <w:jc w:val="both"/>
        <w:rPr>
          <w:rFonts w:cs="Times New Roman"/>
          <w:sz w:val="20"/>
        </w:rPr>
      </w:pPr>
      <w:r w:rsidRPr="007F254D">
        <w:rPr>
          <w:rFonts w:cs="Times New Roman"/>
          <w:sz w:val="20"/>
        </w:rPr>
        <w:t xml:space="preserve">Sono stato reso edotto </w:t>
      </w:r>
      <w:r>
        <w:rPr>
          <w:rFonts w:cs="Times New Roman"/>
          <w:sz w:val="20"/>
        </w:rPr>
        <w:t xml:space="preserve">che </w:t>
      </w:r>
      <w:r w:rsidRPr="007F254D">
        <w:rPr>
          <w:rFonts w:cs="Times New Roman"/>
          <w:sz w:val="20"/>
        </w:rPr>
        <w:t xml:space="preserve">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 w:rsidRPr="007F254D">
        <w:rPr>
          <w:rFonts w:cs="Times New Roman"/>
          <w:b/>
          <w:bCs/>
          <w:sz w:val="20"/>
        </w:rPr>
        <w:t>eseguire l'intervento chirurgico nel modo più sicuro possibile, anche se ciò dovesse comportare modifiche al programma terapeutico precedentemente illustrato</w:t>
      </w:r>
      <w:r w:rsidRPr="007F254D">
        <w:rPr>
          <w:rFonts w:cs="Times New Roman"/>
          <w:sz w:val="20"/>
        </w:rPr>
        <w:t>.</w:t>
      </w:r>
    </w:p>
    <w:p w:rsidR="004057DF" w:rsidRPr="007F254D" w:rsidRDefault="004057DF" w:rsidP="004057DF">
      <w:pPr>
        <w:spacing w:after="120"/>
        <w:jc w:val="both"/>
        <w:rPr>
          <w:rFonts w:cs="Times New Roman"/>
          <w:bCs/>
          <w:i/>
          <w:iCs/>
          <w:spacing w:val="5"/>
          <w:sz w:val="20"/>
        </w:rPr>
      </w:pPr>
      <w:r w:rsidRPr="007F254D">
        <w:rPr>
          <w:rFonts w:eastAsia="Times New Roman" w:cs="Times New Roman"/>
          <w:bCs/>
          <w:sz w:val="20"/>
          <w:szCs w:val="20"/>
        </w:rPr>
        <w:t>Mi è stato illustrato il rischio che l’intervento possa non essere risolutivo e che possa quindi residuare o recidivare la patologia per cui è stato indicato l’intervento.</w:t>
      </w:r>
    </w:p>
    <w:p w:rsidR="004057DF" w:rsidRPr="007F254D" w:rsidRDefault="004057DF" w:rsidP="004057D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</w:p>
    <w:p w:rsidR="004057DF" w:rsidRPr="007F254D" w:rsidRDefault="004057DF" w:rsidP="004057D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:rsidR="004057DF" w:rsidRDefault="004057DF" w:rsidP="00E27BC9">
      <w:pPr>
        <w:pStyle w:val="Textbody"/>
        <w:spacing w:after="0" w:line="276" w:lineRule="auto"/>
        <w:jc w:val="both"/>
        <w:rPr>
          <w:rFonts w:eastAsia="Liberation Serif" w:cs="Liberation Serif"/>
          <w:color w:val="000000"/>
          <w:sz w:val="20"/>
          <w:szCs w:val="20"/>
          <w:lang w:eastAsia="ar-SA" w:bidi="ar-SA"/>
        </w:rPr>
      </w:pP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7F254D">
        <w:rPr>
          <w:rFonts w:eastAsia="Times New Roman" w:cs="Times New Roman"/>
          <w:b/>
          <w:bCs/>
          <w:color w:val="000000"/>
          <w:sz w:val="20"/>
          <w:szCs w:val="20"/>
        </w:rPr>
        <w:t>DICHIARAZIONE DI CONSENSO</w:t>
      </w:r>
    </w:p>
    <w:p w:rsidR="00FA2F37" w:rsidRPr="007F254D" w:rsidRDefault="00FA2F37" w:rsidP="00FA2F37">
      <w:pPr>
        <w:jc w:val="both"/>
        <w:rPr>
          <w:rFonts w:cs="Times New Roman"/>
          <w:color w:val="000000"/>
          <w:sz w:val="20"/>
          <w:szCs w:val="20"/>
        </w:rPr>
      </w:pPr>
      <w:bookmarkStart w:id="6" w:name="_Hlk74240586"/>
      <w:r w:rsidRPr="007F254D">
        <w:rPr>
          <w:rFonts w:cs="Times New Roman"/>
          <w:color w:val="000000"/>
          <w:sz w:val="20"/>
          <w:szCs w:val="20"/>
        </w:rPr>
        <w:lastRenderedPageBreak/>
        <w:t xml:space="preserve">Ciò premesso: </w:t>
      </w:r>
    </w:p>
    <w:p w:rsidR="00FA2F37" w:rsidRPr="007F254D" w:rsidRDefault="00FA2F37" w:rsidP="00FA2F37">
      <w:pPr>
        <w:pStyle w:val="Paragrafoelenco1"/>
        <w:numPr>
          <w:ilvl w:val="0"/>
          <w:numId w:val="6"/>
        </w:numPr>
        <w:jc w:val="both"/>
        <w:rPr>
          <w:color w:val="000000"/>
        </w:rPr>
      </w:pPr>
      <w:r w:rsidRPr="007F254D">
        <w:rPr>
          <w:color w:val="000000"/>
        </w:rPr>
        <w:t xml:space="preserve">Il sottoscritto/a__________________________________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:rsidR="00FA2F37" w:rsidRPr="007F254D" w:rsidRDefault="00FA2F37" w:rsidP="00FA2F3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N/>
        <w:ind w:left="35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cs="Times New Roman"/>
          <w:color w:val="000000"/>
          <w:sz w:val="20"/>
          <w:szCs w:val="20"/>
        </w:rPr>
        <w:t>L’avente diritto/rappresentante legale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impossibilitato/a ad esprimere valido consenso perché minore/inabilitato/incapace/interdetto,</w:t>
      </w:r>
      <w:r w:rsidRPr="007F254D">
        <w:rPr>
          <w:rFonts w:cs="Times New Roman"/>
          <w:sz w:val="20"/>
          <w:szCs w:val="20"/>
        </w:rPr>
        <w:t xml:space="preserve"> </w:t>
      </w:r>
      <w:r w:rsidRPr="007F254D">
        <w:rPr>
          <w:rFonts w:cs="Times New Roman"/>
          <w:color w:val="000000"/>
          <w:sz w:val="20"/>
          <w:szCs w:val="20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7" w:name="_Hlk122771020"/>
      <w:r w:rsidRPr="007F254D">
        <w:rPr>
          <w:rFonts w:cs="Times New Roman"/>
          <w:color w:val="000000"/>
          <w:sz w:val="20"/>
          <w:szCs w:val="20"/>
        </w:rPr>
        <w:t>o conflitto tra il rappresentate legale che rifiuti le cure e il medico che le ritenga appropriate e necessarie</w:t>
      </w:r>
      <w:bookmarkEnd w:id="7"/>
      <w:r w:rsidRPr="007F254D">
        <w:rPr>
          <w:rFonts w:cs="Times New Roman"/>
          <w:color w:val="000000"/>
          <w:sz w:val="20"/>
          <w:szCs w:val="20"/>
        </w:rPr>
        <w:t>, la decisione sarà rimessa al Giudice tutelare, tranne in casi di emergenza/urgenza),</w:t>
      </w: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sz w:val="20"/>
          <w:szCs w:val="20"/>
        </w:rPr>
      </w:pPr>
      <w:r w:rsidRPr="007F254D">
        <w:rPr>
          <w:rFonts w:eastAsia="Times New Roman" w:cs="Times New Roman"/>
          <w:b/>
          <w:bCs/>
          <w:sz w:val="20"/>
          <w:szCs w:val="20"/>
        </w:rPr>
        <w:t>consapevolmente dichiara</w:t>
      </w:r>
      <w:r w:rsidRPr="007F254D">
        <w:rPr>
          <w:rFonts w:eastAsia="Times New Roman" w:cs="Times New Roman"/>
          <w:sz w:val="20"/>
          <w:szCs w:val="20"/>
        </w:rPr>
        <w:t>:</w:t>
      </w:r>
    </w:p>
    <w:p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hAnsi="Times New Roman" w:cs="Times New Roman"/>
          <w:sz w:val="20"/>
        </w:rPr>
      </w:pPr>
      <w:r w:rsidRPr="007F254D">
        <w:rPr>
          <w:rFonts w:ascii="Times New Roman" w:hAnsi="Times New Roman" w:cs="Times New Roman"/>
          <w:sz w:val="20"/>
        </w:rPr>
        <w:t xml:space="preserve">Accetto il trattamento </w:t>
      </w:r>
      <w:bookmarkStart w:id="8" w:name="_Hlk128593900"/>
      <w:r w:rsidRPr="007F254D">
        <w:rPr>
          <w:rFonts w:ascii="Times New Roman" w:hAnsi="Times New Roman" w:cs="Times New Roman"/>
          <w:sz w:val="20"/>
        </w:rPr>
        <w:t>chirurgico proposto dall'equipe di questa Unità Operativa</w:t>
      </w:r>
      <w:bookmarkEnd w:id="8"/>
      <w:r w:rsidRPr="007F254D">
        <w:rPr>
          <w:rFonts w:ascii="Times New Roman" w:hAnsi="Times New Roman" w:cs="Times New Roman"/>
          <w:sz w:val="20"/>
        </w:rPr>
        <w:t xml:space="preserve"> anche autorizzando i sanitari curanti </w:t>
      </w:r>
      <w:r>
        <w:rPr>
          <w:rFonts w:ascii="Times New Roman" w:hAnsi="Times New Roman" w:cs="Times New Roman"/>
          <w:sz w:val="20"/>
        </w:rPr>
        <w:t xml:space="preserve">individualmente o in equipe, </w:t>
      </w:r>
      <w:r w:rsidRPr="007F254D">
        <w:rPr>
          <w:rFonts w:ascii="Times New Roman" w:hAnsi="Times New Roman" w:cs="Times New Roman"/>
          <w:sz w:val="20"/>
        </w:rPr>
        <w:t>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Acconsento alla registrazione audio e video e/o 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>riprese e fotografie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durante le procedure diagnostiche e/o terapeutiche, e alla loro eventuale archiviazione, e che queste vengano utilizzate a scopi di ricerca scientifica nonché ai fini di audit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e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per il monitoraggio del rischio clinico, nel rispetto della mia privacy e delle normative sulla protezione dei dati personali. </w:t>
      </w:r>
    </w:p>
    <w:p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Rifiuto il trattamento chirurgico proposto dall'equipe di questa Unità Operativa.</w:t>
      </w:r>
    </w:p>
    <w:p w:rsidR="00FA2F37" w:rsidRPr="007F254D" w:rsidRDefault="00FA2F37" w:rsidP="00FA2F3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Rinuncio agli accertamenti diagnostici e/o ai trattamenti sanitari proposti e revoco il consenso precedentemente prestato all’atto chirurgico</w:t>
      </w: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</w:p>
    <w:bookmarkEnd w:id="6"/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Si dà atto che l’acquisizione del consenso è avvenuta:</w:t>
      </w:r>
    </w:p>
    <w:p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</w:rPr>
        <w:t>n lingua italiana</w:t>
      </w:r>
    </w:p>
    <w:p w:rsidR="00FA2F37" w:rsidRPr="007F254D" w:rsidRDefault="00FA2F37" w:rsidP="00FA2F3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2F37" w:rsidRPr="007F254D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traduzione in lingua comprensibile al paziente a mezzo di___________________. </w:t>
      </w: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bookmarkStart w:id="9" w:name="_Hlk129591490"/>
    </w:p>
    <w:p w:rsidR="00FA2F37" w:rsidRPr="007F254D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  <w:bookmarkStart w:id="10" w:name="_Hlk72403362"/>
      <w:bookmarkStart w:id="11" w:name="_Hlk62963963"/>
      <w:r w:rsidRPr="007F254D">
        <w:rPr>
          <w:rFonts w:eastAsia="Times New Roman" w:cs="Times New Roman"/>
          <w:sz w:val="20"/>
          <w:szCs w:val="20"/>
          <w:lang w:eastAsia="ar-SA"/>
        </w:rPr>
        <w:t>Data: _________________</w:t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p w:rsidR="00FA2F37" w:rsidRPr="007F254D" w:rsidRDefault="00FA2F37" w:rsidP="00FA2F37">
      <w:pPr>
        <w:spacing w:line="276" w:lineRule="auto"/>
        <w:ind w:left="3600"/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:rsidR="00FA2F37" w:rsidRPr="007F254D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</w:p>
    <w:bookmarkEnd w:id="10"/>
    <w:p w:rsidR="00FA2F37" w:rsidRDefault="00FA2F37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 xml:space="preserve">Firma del Medico dell’U.O.: _______________________ </w:t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2CEC394E" wp14:editId="7D5F2313">
            <wp:extent cx="3244362" cy="2282770"/>
            <wp:effectExtent l="0" t="0" r="0" b="3810"/>
            <wp:docPr id="13" name="Immagine 13" descr="C:\Users\giuseppe.miranda\AppData\Local\Microsoft\Windows\INetCache\Content.MSO\720F75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giuseppe.miranda\AppData\Local\Microsoft\Windows\INetCache\Content.MSO\720F75C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82" cy="22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0"/>
          <w:szCs w:val="20"/>
          <w:lang w:eastAsia="ar-SA"/>
        </w:rPr>
        <w:t xml:space="preserve">    </w:t>
      </w:r>
      <w:r w:rsidR="00A16866">
        <w:rPr>
          <w:rFonts w:eastAsia="Times New Roman" w:cs="Times New Roman"/>
          <w:sz w:val="20"/>
          <w:szCs w:val="20"/>
          <w:lang w:eastAsia="ar-SA"/>
        </w:rPr>
        <w:t xml:space="preserve">               </w:t>
      </w:r>
      <w:bookmarkStart w:id="12" w:name="_GoBack"/>
      <w:bookmarkEnd w:id="12"/>
      <w:r>
        <w:rPr>
          <w:rFonts w:eastAsia="Times New Roman" w:cs="Times New Roman"/>
          <w:sz w:val="20"/>
          <w:szCs w:val="20"/>
          <w:lang w:eastAsia="ar-SA"/>
        </w:rPr>
        <w:t xml:space="preserve">   </w:t>
      </w:r>
      <w:r>
        <w:rPr>
          <w:noProof/>
          <w:lang w:eastAsia="it-IT" w:bidi="ar-SA"/>
        </w:rPr>
        <w:drawing>
          <wp:inline distT="0" distB="0" distL="0" distR="0" wp14:anchorId="5D70BF2F" wp14:editId="49634A9C">
            <wp:extent cx="1948070" cy="2379712"/>
            <wp:effectExtent l="0" t="0" r="0" b="1905"/>
            <wp:docPr id="22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23" cy="2457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921C16" w:rsidRDefault="00921C16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bookmarkEnd w:id="9"/>
    <w:p w:rsidR="00FA2F37" w:rsidRPr="007F254D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p w:rsidR="00FA2F37" w:rsidRPr="007F254D" w:rsidRDefault="00FA2F37" w:rsidP="00FA2F3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Times New Roman"/>
          <w:sz w:val="20"/>
          <w:szCs w:val="20"/>
        </w:rPr>
      </w:pPr>
      <w:bookmarkStart w:id="13" w:name="_Hlk85308560"/>
      <w:bookmarkEnd w:id="11"/>
    </w:p>
    <w:bookmarkEnd w:id="13"/>
    <w:p w:rsidR="007111EE" w:rsidRDefault="007111EE" w:rsidP="007111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111EE" w:rsidRDefault="007111EE" w:rsidP="007111E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</w:rPr>
      </w:pPr>
      <w:r w:rsidRPr="00CD648F">
        <w:rPr>
          <w:b/>
          <w:color w:val="000000"/>
          <w:sz w:val="18"/>
        </w:rPr>
        <w:t>RIFERIMENTI BIBLIOGRAFICI</w:t>
      </w:r>
    </w:p>
    <w:p w:rsidR="007111EE" w:rsidRDefault="007111EE" w:rsidP="007111E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</w:rPr>
      </w:pPr>
    </w:p>
    <w:p w:rsidR="007111EE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18"/>
        </w:rPr>
      </w:pPr>
      <w:r w:rsidRPr="009E7FA9">
        <w:rPr>
          <w:b/>
          <w:color w:val="000000"/>
          <w:sz w:val="18"/>
        </w:rPr>
        <w:t>SAGES guidelines for minimally invasive treatment of adrenal pathology</w:t>
      </w:r>
      <w:r>
        <w:rPr>
          <w:b/>
          <w:color w:val="000000"/>
          <w:sz w:val="18"/>
        </w:rPr>
        <w:t xml:space="preserve">. </w:t>
      </w:r>
      <w:r w:rsidRPr="009E7FA9">
        <w:rPr>
          <w:color w:val="000000"/>
          <w:sz w:val="18"/>
        </w:rPr>
        <w:t xml:space="preserve">Dimitrios Stefanidis, Melanie Goldfarb, Kent W. Kercher, William W. Hope, </w:t>
      </w:r>
      <w:r>
        <w:rPr>
          <w:color w:val="000000"/>
          <w:sz w:val="18"/>
        </w:rPr>
        <w:t xml:space="preserve">William Richardson, </w:t>
      </w:r>
      <w:r w:rsidRPr="009E7FA9">
        <w:rPr>
          <w:color w:val="000000"/>
          <w:sz w:val="18"/>
        </w:rPr>
        <w:t xml:space="preserve">Robert D. Fanelli </w:t>
      </w:r>
      <w:r>
        <w:rPr>
          <w:color w:val="000000"/>
          <w:sz w:val="18"/>
        </w:rPr>
        <w:t xml:space="preserve">. </w:t>
      </w:r>
      <w:r w:rsidRPr="009E7FA9">
        <w:rPr>
          <w:color w:val="000000"/>
          <w:sz w:val="18"/>
        </w:rPr>
        <w:t>Surgical Endoscopy volume 27, pages3960–3980(2013)</w:t>
      </w:r>
    </w:p>
    <w:p w:rsidR="007111EE" w:rsidRPr="002D07DB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  <w:color w:val="000000"/>
          <w:sz w:val="18"/>
        </w:rPr>
      </w:pPr>
      <w:r w:rsidRPr="00F8477E">
        <w:rPr>
          <w:b/>
          <w:bCs/>
          <w:color w:val="000000"/>
          <w:sz w:val="18"/>
        </w:rPr>
        <w:t>European Society of Endocrine Surgeons (ESES) and European Network for the Study of Adrenal Tumours (ENSAT) recommendations for the surgical management of adrenocortical carcinoma</w:t>
      </w:r>
      <w:r>
        <w:rPr>
          <w:b/>
          <w:bCs/>
          <w:color w:val="000000"/>
          <w:sz w:val="18"/>
        </w:rPr>
        <w:t xml:space="preserve">. </w:t>
      </w:r>
      <w:r>
        <w:rPr>
          <w:bCs/>
          <w:color w:val="000000"/>
          <w:sz w:val="18"/>
        </w:rPr>
        <w:t>S Gaujoux, R Mihai</w:t>
      </w:r>
      <w:r w:rsidRPr="00F8477E">
        <w:rPr>
          <w:bCs/>
          <w:color w:val="000000"/>
          <w:sz w:val="18"/>
        </w:rPr>
        <w:t>, joint working group of ESES and ENSAT</w:t>
      </w:r>
      <w:r>
        <w:rPr>
          <w:bCs/>
          <w:color w:val="000000"/>
          <w:sz w:val="18"/>
        </w:rPr>
        <w:t xml:space="preserve">. </w:t>
      </w:r>
      <w:r w:rsidRPr="00F8477E">
        <w:rPr>
          <w:bCs/>
          <w:color w:val="000000"/>
          <w:sz w:val="18"/>
        </w:rPr>
        <w:t>Br J Surg. 2017 Mar;104(4):358-376. doi: 10.1002/bjs.10414</w:t>
      </w:r>
    </w:p>
    <w:p w:rsidR="007111EE" w:rsidRPr="002F433B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  <w:color w:val="000000"/>
          <w:sz w:val="18"/>
        </w:rPr>
      </w:pPr>
      <w:r w:rsidRPr="002D07DB">
        <w:rPr>
          <w:b/>
          <w:color w:val="000000"/>
          <w:sz w:val="18"/>
        </w:rPr>
        <w:t>American Association of Endocrine Surgeons Guidelines for Adrenalectomy: Executive Summary</w:t>
      </w:r>
      <w:r>
        <w:rPr>
          <w:b/>
          <w:color w:val="000000"/>
          <w:sz w:val="18"/>
        </w:rPr>
        <w:t xml:space="preserve">. </w:t>
      </w:r>
      <w:r w:rsidRPr="002F433B">
        <w:rPr>
          <w:bCs/>
          <w:color w:val="000000"/>
          <w:sz w:val="18"/>
        </w:rPr>
        <w:t>Yip L, Duh QY, Wachtel H, Jimenez C, Sturgeon C, Lee C, Velázquez-Fernández D, Berber E, Hammer GD, Bancos I, Lee JA, Marko J, Morris-Wiseman LF, Hughes MS, Livhits MJ, Han MA, Smith PW, Wilhelm S, Asa SL, Fahey TJ 3rd, McKenzie TJ, Strong VE, Perrier ND.</w:t>
      </w:r>
      <w:r>
        <w:rPr>
          <w:bCs/>
          <w:color w:val="000000"/>
          <w:sz w:val="18"/>
        </w:rPr>
        <w:t xml:space="preserve"> </w:t>
      </w:r>
      <w:r w:rsidRPr="002F433B">
        <w:rPr>
          <w:bCs/>
          <w:color w:val="000000"/>
          <w:sz w:val="18"/>
        </w:rPr>
        <w:t>JAMA Surg. 2022 Oct 1;157(10):870-877. doi: 10.1001/jamasurg.2022.3544.</w:t>
      </w:r>
    </w:p>
    <w:p w:rsidR="007111EE" w:rsidRPr="00F8477E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  <w:color w:val="000000"/>
          <w:sz w:val="18"/>
        </w:rPr>
      </w:pPr>
      <w:r w:rsidRPr="00F8477E">
        <w:rPr>
          <w:b/>
          <w:bCs/>
          <w:color w:val="000000"/>
          <w:sz w:val="18"/>
        </w:rPr>
        <w:t>Laparoscopic adrenalectomy for giant adrenal tumours: Technical considerations and surgical outcome</w:t>
      </w:r>
      <w:r>
        <w:rPr>
          <w:b/>
          <w:bCs/>
          <w:color w:val="000000"/>
          <w:sz w:val="18"/>
        </w:rPr>
        <w:t xml:space="preserve">. </w:t>
      </w:r>
      <w:r w:rsidRPr="00F8477E">
        <w:rPr>
          <w:bCs/>
          <w:color w:val="000000"/>
          <w:sz w:val="18"/>
        </w:rPr>
        <w:t>Alessio</w:t>
      </w:r>
      <w:r w:rsidRPr="00F8477E">
        <w:rPr>
          <w:b/>
          <w:bCs/>
          <w:color w:val="000000"/>
          <w:sz w:val="18"/>
        </w:rPr>
        <w:t xml:space="preserve"> </w:t>
      </w:r>
      <w:r>
        <w:rPr>
          <w:bCs/>
          <w:color w:val="000000"/>
          <w:sz w:val="18"/>
        </w:rPr>
        <w:t>Giordano, Giovanni Alemanno, Carlo Bergamini</w:t>
      </w:r>
      <w:r w:rsidRPr="00F8477E">
        <w:rPr>
          <w:bCs/>
          <w:color w:val="000000"/>
          <w:sz w:val="18"/>
        </w:rPr>
        <w:t xml:space="preserve">, </w:t>
      </w:r>
      <w:r>
        <w:rPr>
          <w:bCs/>
          <w:color w:val="000000"/>
          <w:sz w:val="18"/>
        </w:rPr>
        <w:t>Andrea Valeri</w:t>
      </w:r>
      <w:r w:rsidRPr="00F8477E">
        <w:rPr>
          <w:bCs/>
          <w:color w:val="000000"/>
          <w:sz w:val="18"/>
        </w:rPr>
        <w:t>, Paolo Prosperi</w:t>
      </w:r>
      <w:r>
        <w:rPr>
          <w:bCs/>
          <w:color w:val="000000"/>
          <w:sz w:val="18"/>
        </w:rPr>
        <w:t xml:space="preserve">. </w:t>
      </w:r>
      <w:r w:rsidRPr="00F8477E">
        <w:rPr>
          <w:bCs/>
          <w:color w:val="000000"/>
          <w:sz w:val="18"/>
        </w:rPr>
        <w:t>J Minim Access Surg. Jan-Mar 2021;17(1):76-80. doi: 10.4103/jmas.JMAS_266_19.</w:t>
      </w:r>
    </w:p>
    <w:p w:rsidR="007111EE" w:rsidRPr="009E7FA9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18"/>
        </w:rPr>
      </w:pPr>
      <w:r w:rsidRPr="009E7FA9">
        <w:rPr>
          <w:b/>
          <w:color w:val="000000"/>
          <w:sz w:val="18"/>
        </w:rPr>
        <w:t>Perioperative outcomes of robotic and laparoscopic adrenalectomy: a large international multicenter experience</w:t>
      </w:r>
      <w:r>
        <w:rPr>
          <w:b/>
          <w:color w:val="000000"/>
          <w:sz w:val="18"/>
        </w:rPr>
        <w:t xml:space="preserve">. </w:t>
      </w:r>
      <w:r w:rsidRPr="009E7FA9">
        <w:rPr>
          <w:color w:val="000000"/>
          <w:sz w:val="18"/>
        </w:rPr>
        <w:t xml:space="preserve">Simone Sforza, Andrea Minervini, Riccardo Tellini, Changwei Ji, Carlo Bergamini, </w:t>
      </w:r>
      <w:r>
        <w:rPr>
          <w:color w:val="000000"/>
          <w:sz w:val="18"/>
        </w:rPr>
        <w:t xml:space="preserve">Alessio Giordano, </w:t>
      </w:r>
      <w:r w:rsidRPr="009E7FA9">
        <w:rPr>
          <w:color w:val="000000"/>
          <w:sz w:val="18"/>
        </w:rPr>
        <w:t xml:space="preserve">Qun Lu, Wei Chen, Feifei Zhang, Hao Ji, Fabrizio Di Maida, Paolo Prosperi, Lorenzo Masieri, Marco Carini, </w:t>
      </w:r>
      <w:r>
        <w:rPr>
          <w:color w:val="000000"/>
          <w:sz w:val="18"/>
        </w:rPr>
        <w:t xml:space="preserve">Andrea Valeri </w:t>
      </w:r>
      <w:r w:rsidRPr="009E7FA9">
        <w:rPr>
          <w:color w:val="000000"/>
          <w:sz w:val="18"/>
        </w:rPr>
        <w:t>Hongqian Guo</w:t>
      </w:r>
      <w:r>
        <w:rPr>
          <w:color w:val="000000"/>
          <w:sz w:val="18"/>
        </w:rPr>
        <w:t xml:space="preserve">. </w:t>
      </w:r>
      <w:r w:rsidRPr="009E7FA9">
        <w:rPr>
          <w:color w:val="000000"/>
          <w:sz w:val="18"/>
        </w:rPr>
        <w:t>Surg Endosc. 2020 Apr 23.doi: 10.1007/s00464-020-07578-5</w:t>
      </w:r>
    </w:p>
    <w:p w:rsidR="007111EE" w:rsidRPr="007701F4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  <w:color w:val="000000"/>
          <w:sz w:val="18"/>
        </w:rPr>
      </w:pPr>
      <w:r w:rsidRPr="007701F4">
        <w:rPr>
          <w:b/>
          <w:bCs/>
          <w:color w:val="000000"/>
          <w:sz w:val="18"/>
        </w:rPr>
        <w:t>Complications in laparoscopic adrenalectomy: the value of experience</w:t>
      </w:r>
      <w:r>
        <w:rPr>
          <w:b/>
          <w:bCs/>
          <w:color w:val="000000"/>
          <w:sz w:val="18"/>
        </w:rPr>
        <w:t>.</w:t>
      </w:r>
      <w:r>
        <w:rPr>
          <w:bCs/>
          <w:color w:val="000000"/>
          <w:sz w:val="18"/>
        </w:rPr>
        <w:t xml:space="preserve"> Carlo Bergamini</w:t>
      </w:r>
      <w:r w:rsidRPr="007701F4">
        <w:rPr>
          <w:bCs/>
          <w:color w:val="000000"/>
          <w:sz w:val="18"/>
        </w:rPr>
        <w:t>, Jacopo Martellucci, Fabiano Tozzi, Andrea Valeri</w:t>
      </w:r>
      <w:r>
        <w:rPr>
          <w:bCs/>
          <w:color w:val="000000"/>
          <w:sz w:val="18"/>
        </w:rPr>
        <w:t xml:space="preserve">. </w:t>
      </w:r>
      <w:r w:rsidRPr="007701F4">
        <w:rPr>
          <w:bCs/>
          <w:color w:val="000000"/>
          <w:sz w:val="18"/>
        </w:rPr>
        <w:t>Surg Endosc. 2011 Dec;25(12):3845-51.doi: 10.1007/s00464-011-1804-0</w:t>
      </w:r>
    </w:p>
    <w:p w:rsidR="007111EE" w:rsidRPr="007701F4" w:rsidRDefault="007111EE" w:rsidP="007111EE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  <w:color w:val="000000"/>
          <w:sz w:val="18"/>
        </w:rPr>
      </w:pPr>
      <w:r w:rsidRPr="007701F4">
        <w:rPr>
          <w:b/>
          <w:bCs/>
          <w:color w:val="000000"/>
          <w:sz w:val="18"/>
        </w:rPr>
        <w:t>Recurrence and functional outcomes of partial adrenalectomy: a systematic review and meta-analysis</w:t>
      </w:r>
      <w:r>
        <w:rPr>
          <w:b/>
          <w:bCs/>
          <w:color w:val="000000"/>
          <w:sz w:val="18"/>
        </w:rPr>
        <w:t xml:space="preserve">. </w:t>
      </w:r>
      <w:r w:rsidRPr="007701F4">
        <w:rPr>
          <w:bCs/>
          <w:color w:val="000000"/>
          <w:sz w:val="18"/>
        </w:rPr>
        <w:t>Vi</w:t>
      </w:r>
      <w:r>
        <w:rPr>
          <w:bCs/>
          <w:color w:val="000000"/>
          <w:sz w:val="18"/>
        </w:rPr>
        <w:t xml:space="preserve">nayak Nagaraja, Guy D Eslick , Senarath Edirimanne. </w:t>
      </w:r>
      <w:r w:rsidRPr="007701F4">
        <w:rPr>
          <w:bCs/>
          <w:color w:val="000000"/>
          <w:sz w:val="18"/>
        </w:rPr>
        <w:t>Int J Surg. 2015 Apr;16(Pt A):7-13.doi: 10.1016/j.ijsu.2015.01.015. Epub 2015 Feb 11</w:t>
      </w:r>
    </w:p>
    <w:p w:rsidR="00BC7D20" w:rsidRDefault="00BC7D20">
      <w:pPr>
        <w:pStyle w:val="Textbody"/>
        <w:jc w:val="both"/>
        <w:rPr>
          <w:color w:val="000000"/>
          <w:sz w:val="20"/>
          <w:szCs w:val="20"/>
        </w:rPr>
      </w:pPr>
    </w:p>
    <w:sectPr w:rsidR="00BC7D20" w:rsidSect="007A20E4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F0" w:rsidRDefault="001128F0">
      <w:r>
        <w:separator/>
      </w:r>
    </w:p>
  </w:endnote>
  <w:endnote w:type="continuationSeparator" w:id="0">
    <w:p w:rsidR="001128F0" w:rsidRDefault="0011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37" w:rsidRDefault="00FA2F37" w:rsidP="00AC33C7">
    <w:r w:rsidRPr="00AC33C7">
      <w:t xml:space="preserve"> </w:t>
    </w:r>
  </w:p>
  <w:p w:rsidR="00FA2F37" w:rsidRPr="00AC33C7" w:rsidRDefault="00FA2F37" w:rsidP="00AC33C7">
    <w:pPr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Firma del Medico dell’U.O.: _______________________ </w:t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:rsidR="00FA2F37" w:rsidRPr="00AC33C7" w:rsidRDefault="00FA2F37" w:rsidP="00AC33C7">
    <w:pPr>
      <w:widowControl/>
      <w:autoSpaceDN/>
      <w:textAlignment w:val="auto"/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:rsidR="00FA2F37" w:rsidRPr="00AC33C7" w:rsidRDefault="00FA2F37" w:rsidP="00AC33C7">
    <w:pPr>
      <w:widowControl/>
      <w:tabs>
        <w:tab w:val="center" w:pos="4819"/>
        <w:tab w:val="right" w:pos="9638"/>
      </w:tabs>
      <w:autoSpaceDN/>
      <w:textAlignment w:val="auto"/>
      <w:rPr>
        <w:rFonts w:ascii="Liberation Serif" w:eastAsia="Liberation Serif" w:hAnsi="Liberation Serif" w:cs="Liberation Serif"/>
        <w:kern w:val="0"/>
        <w:szCs w:val="21"/>
        <w:lang w:eastAsia="it-IT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                                                                         Firma Paziente e/o Legale Rappresentante: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F0" w:rsidRDefault="001128F0">
      <w:r>
        <w:rPr>
          <w:color w:val="000000"/>
        </w:rPr>
        <w:separator/>
      </w:r>
    </w:p>
  </w:footnote>
  <w:footnote w:type="continuationSeparator" w:id="0">
    <w:p w:rsidR="001128F0" w:rsidRDefault="0011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37" w:rsidRDefault="001128F0">
    <w:pPr>
      <w:pStyle w:val="Intestazione"/>
      <w:rPr>
        <w:color w:val="801900"/>
      </w:rPr>
    </w:pPr>
    <w:sdt>
      <w:sdtPr>
        <w:rPr>
          <w:color w:val="801900"/>
        </w:rPr>
        <w:id w:val="-88240527"/>
        <w:docPartObj>
          <w:docPartGallery w:val="Page Numbers (Margins)"/>
          <w:docPartUnique/>
        </w:docPartObj>
      </w:sdtPr>
      <w:sdtEndPr/>
      <w:sdtContent>
        <w:r w:rsidR="00B84369">
          <w:rPr>
            <w:noProof/>
            <w:color w:val="801900"/>
            <w:lang w:eastAsia="it-IT" w:bidi="ar-SA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FA2F37" w:rsidRDefault="001C2E8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FA2F37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6866" w:rsidRPr="00A16866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3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FA2F37" w:rsidRDefault="001C2E8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FA2F37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6866" w:rsidRPr="00A16866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FA2F37" w:rsidRPr="00AC33C7">
      <w:rPr>
        <w:rFonts w:ascii="Liberation Serif" w:eastAsia="Liberation Serif" w:hAnsi="Liberation Serif" w:cs="Liberation Serif"/>
        <w:noProof/>
        <w:kern w:val="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-350520</wp:posOffset>
          </wp:positionV>
          <wp:extent cx="1320800" cy="474980"/>
          <wp:effectExtent l="0" t="0" r="0" b="127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2F37">
      <w:rPr>
        <w:color w:val="801900"/>
      </w:rPr>
      <w:t>LOGO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9815678"/>
    <w:multiLevelType w:val="hybridMultilevel"/>
    <w:tmpl w:val="1FEAD850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E7923"/>
    <w:multiLevelType w:val="hybridMultilevel"/>
    <w:tmpl w:val="02F8243A"/>
    <w:lvl w:ilvl="0" w:tplc="DBC4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5D7"/>
    <w:multiLevelType w:val="hybridMultilevel"/>
    <w:tmpl w:val="6E26096A"/>
    <w:lvl w:ilvl="0" w:tplc="3C8E9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1FB9"/>
    <w:multiLevelType w:val="hybridMultilevel"/>
    <w:tmpl w:val="4FF4D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C1D80"/>
    <w:multiLevelType w:val="hybridMultilevel"/>
    <w:tmpl w:val="EA3E10B0"/>
    <w:lvl w:ilvl="0" w:tplc="DBC4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3C2"/>
    <w:multiLevelType w:val="hybridMultilevel"/>
    <w:tmpl w:val="BFF6D79E"/>
    <w:lvl w:ilvl="0" w:tplc="600C4A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298"/>
    <w:multiLevelType w:val="hybridMultilevel"/>
    <w:tmpl w:val="FD564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A1B59"/>
    <w:multiLevelType w:val="hybridMultilevel"/>
    <w:tmpl w:val="CE40FF0A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9485F"/>
    <w:multiLevelType w:val="hybridMultilevel"/>
    <w:tmpl w:val="6AB03B22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6320"/>
    <w:multiLevelType w:val="multilevel"/>
    <w:tmpl w:val="3F9CA3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A4B34EF"/>
    <w:multiLevelType w:val="hybridMultilevel"/>
    <w:tmpl w:val="E5DE2FF6"/>
    <w:lvl w:ilvl="0" w:tplc="AF84E6C6">
      <w:start w:val="1"/>
      <w:numFmt w:val="bullet"/>
      <w:lvlText w:val=""/>
      <w:lvlJc w:val="left"/>
      <w:pPr>
        <w:ind w:left="720" w:hanging="360"/>
      </w:pPr>
      <w:rPr>
        <w:rFonts w:ascii="Times New Roman" w:hAnsi="Times New Roman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15B8"/>
    <w:multiLevelType w:val="hybridMultilevel"/>
    <w:tmpl w:val="B57A938C"/>
    <w:lvl w:ilvl="0" w:tplc="3F7C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4073F"/>
    <w:multiLevelType w:val="multilevel"/>
    <w:tmpl w:val="612440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BC744E3"/>
    <w:multiLevelType w:val="multilevel"/>
    <w:tmpl w:val="D98080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C9A7A6B"/>
    <w:multiLevelType w:val="multilevel"/>
    <w:tmpl w:val="5FD03E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7B04534"/>
    <w:multiLevelType w:val="multilevel"/>
    <w:tmpl w:val="24DC69F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00E4D62"/>
    <w:multiLevelType w:val="multilevel"/>
    <w:tmpl w:val="E09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95E64"/>
    <w:multiLevelType w:val="hybridMultilevel"/>
    <w:tmpl w:val="BAFCE698"/>
    <w:lvl w:ilvl="0" w:tplc="3F7C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848"/>
    <w:multiLevelType w:val="multilevel"/>
    <w:tmpl w:val="5698846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6C25F0"/>
    <w:multiLevelType w:val="hybridMultilevel"/>
    <w:tmpl w:val="73A88578"/>
    <w:lvl w:ilvl="0" w:tplc="AF84E6C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18"/>
      </w:rPr>
    </w:lvl>
    <w:lvl w:ilvl="1" w:tplc="CFB623C0">
      <w:start w:val="1"/>
      <w:numFmt w:val="bullet"/>
      <w:lvlText w:val=""/>
      <w:lvlJc w:val="left"/>
      <w:pPr>
        <w:ind w:left="1080" w:hanging="360"/>
      </w:pPr>
      <w:rPr>
        <w:rFonts w:ascii="Times New Roman" w:hAnsi="Times New Roman" w:hint="default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EF21A3"/>
    <w:multiLevelType w:val="hybridMultilevel"/>
    <w:tmpl w:val="59F0BE20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BC546E"/>
    <w:multiLevelType w:val="hybridMultilevel"/>
    <w:tmpl w:val="B006792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9F50DD"/>
    <w:multiLevelType w:val="hybridMultilevel"/>
    <w:tmpl w:val="DC206CE0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20F06"/>
    <w:multiLevelType w:val="hybridMultilevel"/>
    <w:tmpl w:val="16BA64F2"/>
    <w:lvl w:ilvl="0" w:tplc="AF84E6C6">
      <w:start w:val="1"/>
      <w:numFmt w:val="bullet"/>
      <w:lvlText w:val=""/>
      <w:lvlJc w:val="left"/>
      <w:pPr>
        <w:ind w:left="720" w:hanging="360"/>
      </w:pPr>
      <w:rPr>
        <w:rFonts w:ascii="Times New Roman" w:hAnsi="Times New Roman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B5AF5"/>
    <w:multiLevelType w:val="hybridMultilevel"/>
    <w:tmpl w:val="70DE9368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13"/>
  </w:num>
  <w:num w:numId="8">
    <w:abstractNumId w:val="18"/>
  </w:num>
  <w:num w:numId="9">
    <w:abstractNumId w:val="7"/>
  </w:num>
  <w:num w:numId="10">
    <w:abstractNumId w:val="26"/>
  </w:num>
  <w:num w:numId="11">
    <w:abstractNumId w:val="22"/>
  </w:num>
  <w:num w:numId="12">
    <w:abstractNumId w:val="6"/>
  </w:num>
  <w:num w:numId="13">
    <w:abstractNumId w:val="21"/>
  </w:num>
  <w:num w:numId="14">
    <w:abstractNumId w:val="25"/>
  </w:num>
  <w:num w:numId="15">
    <w:abstractNumId w:val="24"/>
  </w:num>
  <w:num w:numId="16">
    <w:abstractNumId w:val="9"/>
  </w:num>
  <w:num w:numId="17">
    <w:abstractNumId w:val="8"/>
  </w:num>
  <w:num w:numId="18">
    <w:abstractNumId w:val="5"/>
  </w:num>
  <w:num w:numId="19">
    <w:abstractNumId w:val="2"/>
  </w:num>
  <w:num w:numId="20">
    <w:abstractNumId w:val="11"/>
  </w:num>
  <w:num w:numId="21">
    <w:abstractNumId w:val="1"/>
  </w:num>
  <w:num w:numId="22">
    <w:abstractNumId w:val="3"/>
  </w:num>
  <w:num w:numId="23">
    <w:abstractNumId w:val="20"/>
  </w:num>
  <w:num w:numId="24">
    <w:abstractNumId w:val="17"/>
  </w:num>
  <w:num w:numId="25">
    <w:abstractNumId w:val="19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0"/>
    <w:rsid w:val="00011E23"/>
    <w:rsid w:val="0001715A"/>
    <w:rsid w:val="00017A61"/>
    <w:rsid w:val="000213C7"/>
    <w:rsid w:val="000B2AE5"/>
    <w:rsid w:val="000C143C"/>
    <w:rsid w:val="000E4029"/>
    <w:rsid w:val="001128F0"/>
    <w:rsid w:val="00137AFD"/>
    <w:rsid w:val="00141B57"/>
    <w:rsid w:val="001C2E80"/>
    <w:rsid w:val="001D1E36"/>
    <w:rsid w:val="001E0757"/>
    <w:rsid w:val="001E54C7"/>
    <w:rsid w:val="00274F3D"/>
    <w:rsid w:val="00292390"/>
    <w:rsid w:val="00293729"/>
    <w:rsid w:val="002D5BE6"/>
    <w:rsid w:val="00327C5B"/>
    <w:rsid w:val="0033498B"/>
    <w:rsid w:val="00356B5B"/>
    <w:rsid w:val="003734DA"/>
    <w:rsid w:val="003954EE"/>
    <w:rsid w:val="003A149B"/>
    <w:rsid w:val="003C0A46"/>
    <w:rsid w:val="003E2CE8"/>
    <w:rsid w:val="004057DF"/>
    <w:rsid w:val="00412BFF"/>
    <w:rsid w:val="004174AE"/>
    <w:rsid w:val="00431784"/>
    <w:rsid w:val="00477144"/>
    <w:rsid w:val="00482F12"/>
    <w:rsid w:val="00492656"/>
    <w:rsid w:val="004E4C72"/>
    <w:rsid w:val="004F08B7"/>
    <w:rsid w:val="00511329"/>
    <w:rsid w:val="0051162D"/>
    <w:rsid w:val="0051241E"/>
    <w:rsid w:val="005149AB"/>
    <w:rsid w:val="0052269B"/>
    <w:rsid w:val="00593D20"/>
    <w:rsid w:val="005B3182"/>
    <w:rsid w:val="005C3864"/>
    <w:rsid w:val="005F14EC"/>
    <w:rsid w:val="00610239"/>
    <w:rsid w:val="006123D4"/>
    <w:rsid w:val="00613DFA"/>
    <w:rsid w:val="00621DD6"/>
    <w:rsid w:val="00626710"/>
    <w:rsid w:val="00644ECC"/>
    <w:rsid w:val="00650FE9"/>
    <w:rsid w:val="006A0304"/>
    <w:rsid w:val="006B1238"/>
    <w:rsid w:val="006D18C7"/>
    <w:rsid w:val="006E4B15"/>
    <w:rsid w:val="007111EE"/>
    <w:rsid w:val="007171CF"/>
    <w:rsid w:val="00717458"/>
    <w:rsid w:val="00740072"/>
    <w:rsid w:val="00765B93"/>
    <w:rsid w:val="007A20E4"/>
    <w:rsid w:val="007A2FBD"/>
    <w:rsid w:val="007D1167"/>
    <w:rsid w:val="008114C2"/>
    <w:rsid w:val="00813654"/>
    <w:rsid w:val="00826886"/>
    <w:rsid w:val="00834FD7"/>
    <w:rsid w:val="0086015A"/>
    <w:rsid w:val="008914A1"/>
    <w:rsid w:val="008B115F"/>
    <w:rsid w:val="008B413A"/>
    <w:rsid w:val="008C0644"/>
    <w:rsid w:val="008D0619"/>
    <w:rsid w:val="008E2C67"/>
    <w:rsid w:val="00905037"/>
    <w:rsid w:val="0091326B"/>
    <w:rsid w:val="00921C16"/>
    <w:rsid w:val="009406B5"/>
    <w:rsid w:val="00977588"/>
    <w:rsid w:val="00994A2B"/>
    <w:rsid w:val="009A460C"/>
    <w:rsid w:val="009E52C8"/>
    <w:rsid w:val="00A16866"/>
    <w:rsid w:val="00A22D4D"/>
    <w:rsid w:val="00A44A62"/>
    <w:rsid w:val="00A477DB"/>
    <w:rsid w:val="00A849A8"/>
    <w:rsid w:val="00A95D93"/>
    <w:rsid w:val="00AA7AB9"/>
    <w:rsid w:val="00AB3014"/>
    <w:rsid w:val="00AB55A9"/>
    <w:rsid w:val="00AC33C7"/>
    <w:rsid w:val="00AD0FC6"/>
    <w:rsid w:val="00B33E5F"/>
    <w:rsid w:val="00B52DFC"/>
    <w:rsid w:val="00B571AF"/>
    <w:rsid w:val="00B571D5"/>
    <w:rsid w:val="00B62A5A"/>
    <w:rsid w:val="00B75FC5"/>
    <w:rsid w:val="00B84369"/>
    <w:rsid w:val="00BC7D20"/>
    <w:rsid w:val="00BD7D86"/>
    <w:rsid w:val="00BE746C"/>
    <w:rsid w:val="00C04850"/>
    <w:rsid w:val="00C604D9"/>
    <w:rsid w:val="00C81110"/>
    <w:rsid w:val="00CD06EA"/>
    <w:rsid w:val="00CE0EF4"/>
    <w:rsid w:val="00D12F04"/>
    <w:rsid w:val="00D235B6"/>
    <w:rsid w:val="00D312C9"/>
    <w:rsid w:val="00D324E4"/>
    <w:rsid w:val="00D3707D"/>
    <w:rsid w:val="00D54375"/>
    <w:rsid w:val="00D93699"/>
    <w:rsid w:val="00D97513"/>
    <w:rsid w:val="00DA352C"/>
    <w:rsid w:val="00DA78B3"/>
    <w:rsid w:val="00DB5E85"/>
    <w:rsid w:val="00DC058E"/>
    <w:rsid w:val="00E02346"/>
    <w:rsid w:val="00E25098"/>
    <w:rsid w:val="00E27BC9"/>
    <w:rsid w:val="00E424D2"/>
    <w:rsid w:val="00E451A1"/>
    <w:rsid w:val="00E53B1C"/>
    <w:rsid w:val="00E5422F"/>
    <w:rsid w:val="00E60C12"/>
    <w:rsid w:val="00E90924"/>
    <w:rsid w:val="00EB4DFA"/>
    <w:rsid w:val="00F06925"/>
    <w:rsid w:val="00F079E3"/>
    <w:rsid w:val="00F36233"/>
    <w:rsid w:val="00F379FB"/>
    <w:rsid w:val="00F5581D"/>
    <w:rsid w:val="00F82B4C"/>
    <w:rsid w:val="00FA2F37"/>
    <w:rsid w:val="00FA40BA"/>
    <w:rsid w:val="00FA5767"/>
    <w:rsid w:val="00FB79C4"/>
    <w:rsid w:val="00FC2290"/>
    <w:rsid w:val="00FC62F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F1B96"/>
  <w15:docId w15:val="{2AE9467A-F320-412E-BE9A-75B9ED4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0E4"/>
  </w:style>
  <w:style w:type="paragraph" w:styleId="Titolo1">
    <w:name w:val="heading 1"/>
    <w:basedOn w:val="Normale"/>
    <w:next w:val="Normale"/>
    <w:link w:val="Titolo1Carattere"/>
    <w:uiPriority w:val="9"/>
    <w:qFormat/>
    <w:rsid w:val="006E4B15"/>
    <w:pPr>
      <w:keepNext/>
      <w:keepLines/>
      <w:widowControl/>
      <w:suppressAutoHyphens w:val="0"/>
      <w:autoSpaceDN/>
      <w:spacing w:before="480" w:after="120"/>
      <w:textAlignment w:val="auto"/>
      <w:outlineLvl w:val="0"/>
    </w:pPr>
    <w:rPr>
      <w:rFonts w:eastAsia="Times New Roman" w:cs="Times New Roman"/>
      <w:b/>
      <w:kern w:val="0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A20E4"/>
  </w:style>
  <w:style w:type="paragraph" w:customStyle="1" w:styleId="Heading">
    <w:name w:val="Heading"/>
    <w:basedOn w:val="Standard"/>
    <w:next w:val="Textbody"/>
    <w:rsid w:val="007A20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A20E4"/>
    <w:pPr>
      <w:spacing w:after="120"/>
    </w:pPr>
  </w:style>
  <w:style w:type="paragraph" w:styleId="Elenco">
    <w:name w:val="List"/>
    <w:basedOn w:val="Textbody"/>
    <w:rsid w:val="007A20E4"/>
  </w:style>
  <w:style w:type="paragraph" w:styleId="Didascalia">
    <w:name w:val="caption"/>
    <w:basedOn w:val="Standard"/>
    <w:rsid w:val="007A20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20E4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7A20E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7A20E4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7A20E4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3C7"/>
  </w:style>
  <w:style w:type="character" w:styleId="Numeropagina">
    <w:name w:val="page number"/>
    <w:basedOn w:val="Carpredefinitoparagrafo"/>
    <w:uiPriority w:val="99"/>
    <w:unhideWhenUsed/>
    <w:rsid w:val="00AC33C7"/>
  </w:style>
  <w:style w:type="character" w:styleId="Collegamentoipertestuale">
    <w:name w:val="Hyperlink"/>
    <w:basedOn w:val="Carpredefinitoparagrafo"/>
    <w:uiPriority w:val="99"/>
    <w:unhideWhenUsed/>
    <w:rsid w:val="00593D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3D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FBD"/>
    <w:rPr>
      <w:rFonts w:ascii="Lucida Grande" w:hAnsi="Lucida Grande" w:cs="Lucida Grande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7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7D20"/>
    <w:rPr>
      <w:rFonts w:cs="Mangal"/>
      <w:i/>
      <w:iCs/>
      <w:color w:val="4472C4" w:themeColor="accent1"/>
      <w:szCs w:val="21"/>
    </w:rPr>
  </w:style>
  <w:style w:type="character" w:styleId="Riferimentodelicato">
    <w:name w:val="Subtle Reference"/>
    <w:basedOn w:val="Carpredefinitoparagrafo"/>
    <w:uiPriority w:val="31"/>
    <w:qFormat/>
    <w:rsid w:val="00BC7D20"/>
    <w:rPr>
      <w:smallCap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7D2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7D20"/>
    <w:rPr>
      <w:rFonts w:cs="Mangal"/>
      <w:i/>
      <w:iCs/>
      <w:color w:val="404040" w:themeColor="text1" w:themeTint="BF"/>
      <w:szCs w:val="21"/>
    </w:rPr>
  </w:style>
  <w:style w:type="character" w:styleId="Riferimentointenso">
    <w:name w:val="Intense Reference"/>
    <w:basedOn w:val="Carpredefinitoparagrafo"/>
    <w:uiPriority w:val="32"/>
    <w:qFormat/>
    <w:rsid w:val="00BC7D20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BC7D20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BC7D20"/>
    <w:rPr>
      <w:rFonts w:cs="Mangal"/>
      <w:szCs w:val="21"/>
    </w:rPr>
  </w:style>
  <w:style w:type="table" w:customStyle="1" w:styleId="TableNormal">
    <w:name w:val="Table Normal"/>
    <w:rsid w:val="00DC058E"/>
    <w:pPr>
      <w:widowControl/>
      <w:suppressAutoHyphens w:val="0"/>
      <w:autoSpaceDN/>
      <w:textAlignment w:val="auto"/>
    </w:pPr>
    <w:rPr>
      <w:rFonts w:ascii="Liberation Serif" w:eastAsia="Liberation Serif" w:hAnsi="Liberation Serif" w:cs="Liberation Serif"/>
      <w:kern w:val="0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C058E"/>
    <w:pPr>
      <w:widowControl/>
      <w:autoSpaceDN/>
      <w:ind w:left="720"/>
      <w:contextualSpacing/>
      <w:textAlignment w:val="auto"/>
    </w:pPr>
    <w:rPr>
      <w:rFonts w:ascii="Liberation Serif" w:eastAsia="Liberation Serif" w:hAnsi="Liberation Serif" w:cs="Liberation Serif"/>
      <w:kern w:val="0"/>
      <w:lang w:eastAsia="it-IT" w:bidi="ar-SA"/>
    </w:rPr>
  </w:style>
  <w:style w:type="paragraph" w:customStyle="1" w:styleId="Paragrafoelenco1">
    <w:name w:val="Paragrafo elenco1"/>
    <w:basedOn w:val="Normale"/>
    <w:rsid w:val="00FA2F37"/>
    <w:pPr>
      <w:widowControl/>
      <w:autoSpaceDN/>
      <w:ind w:left="7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rsid w:val="003E2C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4B15"/>
    <w:rPr>
      <w:rFonts w:eastAsia="Times New Roman" w:cs="Times New Roman"/>
      <w:b/>
      <w:kern w:val="0"/>
      <w:sz w:val="48"/>
      <w:szCs w:val="48"/>
      <w:lang w:eastAsia="it-IT" w:bidi="ar-SA"/>
    </w:rPr>
  </w:style>
  <w:style w:type="character" w:styleId="Enfasigrassetto">
    <w:name w:val="Strong"/>
    <w:qFormat/>
    <w:rsid w:val="008D0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cabula</dc:creator>
  <cp:lastModifiedBy>Giuseppe Miranda</cp:lastModifiedBy>
  <cp:revision>2</cp:revision>
  <cp:lastPrinted>2023-09-07T23:25:00Z</cp:lastPrinted>
  <dcterms:created xsi:type="dcterms:W3CDTF">2024-11-12T02:09:00Z</dcterms:created>
  <dcterms:modified xsi:type="dcterms:W3CDTF">2024-11-12T02:09:00Z</dcterms:modified>
</cp:coreProperties>
</file>